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7B" w:rsidRDefault="00E0627B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8"/>
        <w:tblW w:w="883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4"/>
        <w:gridCol w:w="6496"/>
      </w:tblGrid>
      <w:tr w:rsidR="00E0627B">
        <w:tc>
          <w:tcPr>
            <w:tcW w:w="2334" w:type="dxa"/>
          </w:tcPr>
          <w:p w:rsidR="00E0627B" w:rsidRDefault="00E0627B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  <w:p w:rsidR="00E0627B" w:rsidRDefault="002400C1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22480" cy="1422862"/>
                  <wp:effectExtent l="0" t="0" r="0" b="0"/>
                  <wp:docPr id="3" name="image1.png" descr="Imagen que contiene dibuj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n que contiene dibujo&#10;&#10;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80" cy="14228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6" w:type="dxa"/>
          </w:tcPr>
          <w:p w:rsidR="00E0627B" w:rsidRDefault="00E0627B">
            <w:pPr>
              <w:spacing w:after="2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0627B" w:rsidRDefault="00E0627B">
            <w:pPr>
              <w:spacing w:after="2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0627B" w:rsidRDefault="002400C1">
            <w:pPr>
              <w:spacing w:after="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6"/>
                <w:szCs w:val="26"/>
              </w:rPr>
              <w:t xml:space="preserve">DÉCIMA NOVENA SESIÓN DE LA COMISIÓN EDILICIA DE EDUCACIÓN </w:t>
            </w:r>
            <w:r>
              <w:rPr>
                <w:rFonts w:ascii="Arial" w:eastAsia="Arial" w:hAnsi="Arial" w:cs="Arial"/>
                <w:b/>
                <w:smallCaps/>
                <w:sz w:val="26"/>
                <w:szCs w:val="26"/>
              </w:rPr>
              <w:t xml:space="preserve">COMO CONVOCANTE Y LA COMISIÓN EDILICIA DE HACIENDA, PATRIMONIO Y PRESUPUESTO COMO COADYUVANTE </w:t>
            </w:r>
            <w:r>
              <w:rPr>
                <w:rFonts w:ascii="Arial" w:eastAsia="Arial" w:hAnsi="Arial" w:cs="Arial"/>
                <w:smallCaps/>
                <w:color w:val="000000"/>
                <w:sz w:val="26"/>
                <w:szCs w:val="26"/>
                <w:highlight w:val="white"/>
              </w:rPr>
              <w:t>C</w:t>
            </w:r>
            <w:r>
              <w:rPr>
                <w:rFonts w:ascii="Arial" w:eastAsia="Arial" w:hAnsi="Arial" w:cs="Arial"/>
                <w:smallCaps/>
                <w:color w:val="000000"/>
                <w:sz w:val="26"/>
                <w:szCs w:val="26"/>
              </w:rPr>
              <w:t xml:space="preserve">ELEBRADA EL DÍA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6"/>
                <w:szCs w:val="26"/>
              </w:rPr>
              <w:t>JUEVES 22 DE JUNIO DEL AÑO 2023</w:t>
            </w:r>
            <w:r>
              <w:rPr>
                <w:rFonts w:ascii="Arial" w:eastAsia="Arial" w:hAnsi="Arial" w:cs="Arial"/>
                <w:smallCaps/>
                <w:color w:val="000000"/>
                <w:sz w:val="26"/>
                <w:szCs w:val="26"/>
              </w:rPr>
              <w:t> EN EL SALÓN DEL PLENO DEL AYUNTAMIENTO CONSTITUCIONAL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DE SAN PEDRO TLAQUEPAQUE.</w:t>
            </w:r>
          </w:p>
          <w:p w:rsidR="00E0627B" w:rsidRDefault="00E0627B">
            <w:pPr>
              <w:spacing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:rsidR="00E0627B" w:rsidRDefault="00E0627B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0627B" w:rsidRDefault="002400C1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Presidenta, Jael Chamú Ponce: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Buenas tardes, bienvenidas compañeras y compañeros Regidores, personal de Secretaría del Ayuntamiento,  personal de Transparencia y demás funcionarios que nos acompañan; siendo las 12:09 horas del día jueves 22 de junio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del año 2023, encontrándonos reunido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s en </w:t>
      </w:r>
      <w:r>
        <w:rPr>
          <w:rFonts w:ascii="Arial" w:eastAsia="Arial" w:hAnsi="Arial" w:cs="Arial"/>
          <w:sz w:val="26"/>
          <w:szCs w:val="26"/>
          <w:highlight w:val="white"/>
        </w:rPr>
        <w:t>el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Salón del Pleno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y con fundamento en lo dispuesto por los artículos 76, 77, 78, 87</w:t>
      </w:r>
      <w:r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color w:val="000000"/>
          <w:sz w:val="26"/>
          <w:szCs w:val="26"/>
        </w:rPr>
        <w:t>9</w:t>
      </w:r>
      <w:r>
        <w:rPr>
          <w:rFonts w:ascii="Arial" w:eastAsia="Arial" w:hAnsi="Arial" w:cs="Arial"/>
          <w:sz w:val="26"/>
          <w:szCs w:val="26"/>
        </w:rPr>
        <w:t>4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y 102 del Reglamento del Gobierno y de la Administración Pública del Ayuntamiento Constitucional de San Pedro Tlaquepaque por el que se rige este Ayuntamiento, da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mos inicio a esta </w:t>
      </w:r>
      <w:r>
        <w:rPr>
          <w:rFonts w:ascii="Arial" w:eastAsia="Arial" w:hAnsi="Arial" w:cs="Arial"/>
          <w:sz w:val="26"/>
          <w:szCs w:val="26"/>
          <w:highlight w:val="white"/>
        </w:rPr>
        <w:t>Décima Novena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Sesión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de la Comisión edilicia de Educación   como convocante y la Comisi</w:t>
      </w:r>
      <w:r>
        <w:rPr>
          <w:rFonts w:ascii="Arial" w:eastAsia="Arial" w:hAnsi="Arial" w:cs="Arial"/>
          <w:sz w:val="26"/>
          <w:szCs w:val="26"/>
        </w:rPr>
        <w:t>ón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edilicia de Hacienda, Patrimonio</w:t>
      </w:r>
      <w:r>
        <w:rPr>
          <w:rFonts w:ascii="Arial" w:eastAsia="Arial" w:hAnsi="Arial" w:cs="Arial"/>
          <w:sz w:val="26"/>
          <w:szCs w:val="26"/>
        </w:rPr>
        <w:t xml:space="preserve"> y </w:t>
      </w:r>
      <w:r>
        <w:rPr>
          <w:rFonts w:ascii="Arial" w:eastAsia="Arial" w:hAnsi="Arial" w:cs="Arial"/>
          <w:color w:val="000000"/>
          <w:sz w:val="26"/>
          <w:szCs w:val="26"/>
        </w:rPr>
        <w:t>Presupuesto como coadyuvante. </w:t>
      </w:r>
    </w:p>
    <w:p w:rsidR="00E0627B" w:rsidRDefault="002400C1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En estos momentos procedo a nombrar lista de asistencia para efectos de verificar </w:t>
      </w:r>
      <w:r>
        <w:rPr>
          <w:rFonts w:ascii="Arial" w:eastAsia="Arial" w:hAnsi="Arial" w:cs="Arial"/>
          <w:color w:val="000000"/>
          <w:sz w:val="26"/>
          <w:szCs w:val="26"/>
        </w:rPr>
        <w:t>si existe quórum legal para sesionar. </w:t>
      </w:r>
    </w:p>
    <w:p w:rsidR="00E0627B" w:rsidRDefault="002400C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Comento que recibí oficio de la regidora Ana Rosa Loza Agraz, donde señala que le será imposible asistir a esta sesión.</w:t>
      </w:r>
    </w:p>
    <w:p w:rsidR="00E0627B" w:rsidRDefault="002400C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Por lo que procederemos a justificar su inasistencia.</w:t>
      </w:r>
    </w:p>
    <w:p w:rsidR="00E0627B" w:rsidRDefault="002400C1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Les pido que si están por la afirmativa fav</w:t>
      </w:r>
      <w:r>
        <w:rPr>
          <w:rFonts w:ascii="Arial" w:eastAsia="Arial" w:hAnsi="Arial" w:cs="Arial"/>
          <w:sz w:val="26"/>
          <w:szCs w:val="26"/>
        </w:rPr>
        <w:t>or de manifestarlo levantando nuestra mano.</w:t>
      </w:r>
    </w:p>
    <w:p w:rsidR="00E0627B" w:rsidRDefault="002400C1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UNANIMIDAD -----------------------------------------------------------</w:t>
      </w:r>
    </w:p>
    <w:p w:rsidR="00E0627B" w:rsidRDefault="002400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—-----------------------------------------------------------------------------------------------------------</w:t>
      </w:r>
    </w:p>
    <w:p w:rsidR="00E0627B" w:rsidRDefault="00E0627B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0627B" w:rsidRDefault="002400C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 estos momentos procedo a nombrar lista de asistencia para efectos de verificar si existe quórum legal para sesionar. </w:t>
      </w:r>
    </w:p>
    <w:p w:rsidR="00E0627B" w:rsidRDefault="00E0627B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spacing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Lista de Asistencia:</w:t>
      </w:r>
    </w:p>
    <w:p w:rsidR="00E0627B" w:rsidRDefault="00E0627B">
      <w:pPr>
        <w:spacing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Regidora Fernanda Janeth Martínez</w:t>
      </w:r>
      <w:r>
        <w:rPr>
          <w:rFonts w:ascii="Arial" w:eastAsia="Arial" w:hAnsi="Arial" w:cs="Arial"/>
          <w:sz w:val="26"/>
          <w:szCs w:val="26"/>
        </w:rPr>
        <w:t xml:space="preserve"> Núñez</w:t>
      </w:r>
      <w:r>
        <w:rPr>
          <w:rFonts w:ascii="Arial" w:eastAsia="Arial" w:hAnsi="Arial" w:cs="Arial"/>
          <w:color w:val="000000"/>
          <w:sz w:val="26"/>
          <w:szCs w:val="26"/>
        </w:rPr>
        <w:t>, presente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Regidora Adriana del Carmen Zúñiga Guerrero, presente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Regidora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Ana Rosa Loza Agraz, justificada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>Regidora María del Rosario Velázquez Hernández, presente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br/>
        <w:t>Y su servidora Jael Chamú Ponce, presidenta de la comisión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E0627B" w:rsidRDefault="00E0627B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0627B" w:rsidRDefault="002400C1">
      <w:pPr>
        <w:spacing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>Se encuentran presentes 4 de las 5 integrantes de la Comisión edilicia de Educación. </w:t>
      </w:r>
    </w:p>
    <w:p w:rsidR="00E0627B" w:rsidRDefault="002400C1">
      <w:pPr>
        <w:spacing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>Por lo que declaro que existe quórum legal para sesionar. </w:t>
      </w:r>
    </w:p>
    <w:p w:rsidR="00E0627B" w:rsidRDefault="002400C1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Procedo a la Toma de Asistencia de los integrantes de la Comisión edilicia de Hacienda, Patrimonio y Presupuesto para efectos de verificar si existe quórum legal para sesionar.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Hago de su conocimiento que se presentó oficio de justificación por parte de la Regidora Anabel Ávila Martínez, debido a que por cuestiones de agenda no le fue posible asistir, ya que se encuentra en una comisión encomendada por la Presidenta Municipal, Mi</w:t>
      </w:r>
      <w:r>
        <w:rPr>
          <w:rFonts w:ascii="Arial" w:eastAsia="Arial" w:hAnsi="Arial" w:cs="Arial"/>
          <w:color w:val="000000"/>
          <w:sz w:val="26"/>
          <w:szCs w:val="26"/>
        </w:rPr>
        <w:t>rna Citlalli Amaya de Luna, lo antes mencionado con fundamento en el artículo 35 bis Fracción I del Reglamento  del Gobierno y de la Administración Pública del Ayuntamiento Constitucional de San Pedro Tlaquepaque, por lo que someto a votación la justificac</w:t>
      </w:r>
      <w:r>
        <w:rPr>
          <w:rFonts w:ascii="Arial" w:eastAsia="Arial" w:hAnsi="Arial" w:cs="Arial"/>
          <w:color w:val="000000"/>
          <w:sz w:val="26"/>
          <w:szCs w:val="26"/>
        </w:rPr>
        <w:t>ión de su inasistencia.</w:t>
      </w:r>
    </w:p>
    <w:p w:rsidR="00E0627B" w:rsidRDefault="00E06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Les pido que si están por la afirmativa favor de manifestarlo levantando nuestra mano.</w:t>
      </w:r>
    </w:p>
    <w:p w:rsidR="00E0627B" w:rsidRDefault="002400C1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UNANIMIDAD -----------------------------------------------------------</w:t>
      </w:r>
    </w:p>
    <w:p w:rsidR="00E0627B" w:rsidRDefault="002400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—--------------------------------------------------------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---------------------------------------------------</w:t>
      </w:r>
    </w:p>
    <w:p w:rsidR="00E0627B" w:rsidRDefault="00E06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Regidora Presidenta de la Comisión Adriana del Carmen Zúñiga Guerrero, presente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Síndico Municipal José Luis Salazar Martínez, presente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Regidora Fernanda Janeth Martínez Núñez,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presente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Regidor Juan Martín Núñez Morán, presente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Regidora Anabel Ávila Martínez, justificada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Regidora María del Rosario Velázquez Hernández, presente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Regidor Luis Arturo Morones Vargas, presente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Regidora Susana Infante Paredes, presente</w:t>
      </w:r>
    </w:p>
    <w:p w:rsidR="00E0627B" w:rsidRDefault="00E0627B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0627B" w:rsidRDefault="002400C1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Doy cuenta de que se enc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uentran presentes 7 de los </w:t>
      </w:r>
      <w:r>
        <w:rPr>
          <w:rFonts w:ascii="Arial" w:eastAsia="Arial" w:hAnsi="Arial" w:cs="Arial"/>
          <w:sz w:val="26"/>
          <w:szCs w:val="26"/>
        </w:rPr>
        <w:t>8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integrantes de la Comisión edilicia de Hacienda, Patrimonio y Presupuesto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Con fundamento en el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artículo 90 del Reglamento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del Gobierno y de la Administración Pública del Ayuntamiento Constitucional de San Pedro Tlaquepaque se d</w:t>
      </w:r>
      <w:r>
        <w:rPr>
          <w:rFonts w:ascii="Arial" w:eastAsia="Arial" w:hAnsi="Arial" w:cs="Arial"/>
          <w:color w:val="000000"/>
          <w:sz w:val="26"/>
          <w:szCs w:val="26"/>
        </w:rPr>
        <w:t>eclara Quórum Legal para sesionar.</w:t>
      </w:r>
    </w:p>
    <w:p w:rsidR="00E0627B" w:rsidRDefault="00E06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Continuando con la sesión, propongo el orden del día de conformidad a la convocatoria realizada: </w:t>
      </w:r>
    </w:p>
    <w:p w:rsidR="00E0627B" w:rsidRDefault="00E06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E0627B" w:rsidRDefault="00E06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rPr>
          <w:rFonts w:ascii="Arial" w:eastAsia="Arial" w:hAnsi="Arial" w:cs="Arial"/>
          <w:b/>
          <w:color w:val="000000"/>
          <w:sz w:val="26"/>
          <w:szCs w:val="26"/>
        </w:rPr>
        <w:t>Orden del Día</w:t>
      </w:r>
    </w:p>
    <w:p w:rsidR="00E0627B" w:rsidRDefault="002400C1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 I. Lista de asistencia y verificación de quórum legal para sesionar;</w:t>
      </w:r>
    </w:p>
    <w:p w:rsidR="00E0627B" w:rsidRDefault="002400C1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II. Lectura y en su caso aprobación del orden del día;</w:t>
      </w:r>
    </w:p>
    <w:p w:rsidR="00E0627B" w:rsidRDefault="002400C1">
      <w:pPr>
        <w:spacing w:before="16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 xml:space="preserve">III. Estudio, análisis y dictaminación del </w:t>
      </w:r>
      <w:r>
        <w:rPr>
          <w:rFonts w:ascii="Arial" w:eastAsia="Arial" w:hAnsi="Arial" w:cs="Arial"/>
          <w:b/>
          <w:color w:val="000000"/>
          <w:sz w:val="26"/>
          <w:szCs w:val="26"/>
        </w:rPr>
        <w:t>Acuerdo número 1774/2021/TC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el cual tiene como </w:t>
      </w:r>
      <w:r>
        <w:rPr>
          <w:rFonts w:ascii="Arial" w:eastAsia="Arial" w:hAnsi="Arial" w:cs="Arial"/>
          <w:b/>
          <w:color w:val="000000"/>
          <w:sz w:val="26"/>
          <w:szCs w:val="26"/>
        </w:rPr>
        <w:t>objeto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el Fortalecimiento y equipamiento del Departamento de Mantenimiento de Escuelas del Municipio de San Ped</w:t>
      </w:r>
      <w:r>
        <w:rPr>
          <w:rFonts w:ascii="Arial" w:eastAsia="Arial" w:hAnsi="Arial" w:cs="Arial"/>
          <w:b/>
          <w:color w:val="000000"/>
          <w:sz w:val="26"/>
          <w:szCs w:val="26"/>
        </w:rPr>
        <w:t>ro Tlaquepaque.</w:t>
      </w:r>
    </w:p>
    <w:p w:rsidR="00E0627B" w:rsidRDefault="00E062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627B" w:rsidRDefault="002400C1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IV. Asuntos Generales;</w:t>
      </w:r>
    </w:p>
    <w:p w:rsidR="00E0627B" w:rsidRDefault="002400C1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V. Clausura de la sesión.</w:t>
      </w:r>
    </w:p>
    <w:p w:rsidR="00E0627B" w:rsidRDefault="00E06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Lo anterior de conformidad con los numerales 76, 77, 78, 81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87, 92 fracci</w:t>
      </w:r>
      <w:r>
        <w:rPr>
          <w:rFonts w:ascii="Arial" w:eastAsia="Arial" w:hAnsi="Arial" w:cs="Arial"/>
          <w:sz w:val="26"/>
          <w:szCs w:val="26"/>
        </w:rPr>
        <w:t>ones II,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X, 94,102 y demás relativos y aplicables del Reglamento del Gobierno y de la Administración Pública del Ay</w:t>
      </w:r>
      <w:r>
        <w:rPr>
          <w:rFonts w:ascii="Arial" w:eastAsia="Arial" w:hAnsi="Arial" w:cs="Arial"/>
          <w:color w:val="000000"/>
          <w:sz w:val="26"/>
          <w:szCs w:val="26"/>
        </w:rPr>
        <w:t>untamiento Constitucional de San Pedro Tlaquepaque.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es pido si están por la afirmativa de </w:t>
      </w:r>
      <w:r>
        <w:rPr>
          <w:rFonts w:ascii="Arial" w:eastAsia="Arial" w:hAnsi="Arial" w:cs="Arial"/>
          <w:sz w:val="26"/>
          <w:szCs w:val="26"/>
        </w:rPr>
        <w:t>aprobar el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rden del </w:t>
      </w:r>
      <w:r>
        <w:rPr>
          <w:rFonts w:ascii="Arial" w:eastAsia="Arial" w:hAnsi="Arial" w:cs="Arial"/>
          <w:sz w:val="26"/>
          <w:szCs w:val="26"/>
        </w:rPr>
        <w:t>Día</w:t>
      </w:r>
      <w:r>
        <w:rPr>
          <w:rFonts w:ascii="Arial" w:eastAsia="Arial" w:hAnsi="Arial" w:cs="Arial"/>
          <w:color w:val="000000"/>
          <w:sz w:val="26"/>
          <w:szCs w:val="26"/>
        </w:rPr>
        <w:t>, lo manifiesten levantando su mano. 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6"/>
          <w:szCs w:val="26"/>
        </w:rPr>
        <w:t>------------------------------------------------------------------------------------------------------</w:t>
      </w:r>
    </w:p>
    <w:p w:rsidR="00E0627B" w:rsidRDefault="00E062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TERCER PUNTO DEL ORDEN DEL DÍA:</w:t>
      </w:r>
    </w:p>
    <w:p w:rsidR="00E0627B" w:rsidRDefault="002400C1">
      <w:pPr>
        <w:spacing w:before="168" w:line="240" w:lineRule="auto"/>
        <w:jc w:val="both"/>
        <w:rPr>
          <w:rFonts w:ascii="Arial" w:eastAsia="Arial" w:hAnsi="Arial" w:cs="Arial"/>
          <w:i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Regidora Presidenta Jael Chamú Ponce: </w:t>
      </w:r>
      <w:r>
        <w:rPr>
          <w:rFonts w:ascii="Arial" w:eastAsia="Arial" w:hAnsi="Arial" w:cs="Arial"/>
          <w:color w:val="000000"/>
          <w:sz w:val="26"/>
          <w:szCs w:val="26"/>
        </w:rPr>
        <w:t>Continuando con la sesión, pasamos al desahogo del tercer punto, a efecto de llevar a cabo el e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studio,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análisis y dictaminación del </w:t>
      </w:r>
      <w:r>
        <w:rPr>
          <w:rFonts w:ascii="Arial" w:eastAsia="Arial" w:hAnsi="Arial" w:cs="Arial"/>
          <w:b/>
          <w:color w:val="000000"/>
          <w:sz w:val="26"/>
          <w:szCs w:val="26"/>
        </w:rPr>
        <w:t>Acuerdo número 1774/2021/TC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el cual tiene como </w:t>
      </w:r>
      <w:r>
        <w:rPr>
          <w:rFonts w:ascii="Arial" w:eastAsia="Arial" w:hAnsi="Arial" w:cs="Arial"/>
          <w:b/>
          <w:color w:val="000000"/>
          <w:sz w:val="26"/>
          <w:szCs w:val="26"/>
        </w:rPr>
        <w:t>objeto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el Fortalecimiento y equipamiento del Departamento de Mantenimiento de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Escuelas del Municipio de San Pedro Tlaquepaque.</w:t>
      </w:r>
    </w:p>
    <w:p w:rsidR="00E0627B" w:rsidRDefault="00E06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highlight w:val="white"/>
        </w:rPr>
        <w:t>Dicho lo anterior se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abre el registro de oradores sobre el análisis de la propuesta.</w:t>
      </w:r>
    </w:p>
    <w:p w:rsidR="00E0627B" w:rsidRDefault="00E06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</w:rPr>
        <w:t>No habiendo oradores p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rocedemos a la votación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en relación al estudio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,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análisis y rechazo de la iniciativa que tiene como objeto el 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Fortalecimiento y equipamiento del Departamento de Mantenimiento de Escuelas del Municipio de San Pedro Tlaquepaque con número de acuerdo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1774/2021/TC.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Les pido que, si están por la afirmativa, f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avo</w:t>
      </w:r>
      <w:r>
        <w:rPr>
          <w:rFonts w:ascii="Arial" w:eastAsia="Arial" w:hAnsi="Arial" w:cs="Arial"/>
          <w:color w:val="000000"/>
          <w:sz w:val="26"/>
          <w:szCs w:val="26"/>
        </w:rPr>
        <w:t>r de manifestarlo levantando nuestra mano.</w:t>
      </w:r>
    </w:p>
    <w:p w:rsidR="00E0627B" w:rsidRDefault="00E06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6"/>
          <w:szCs w:val="26"/>
        </w:rPr>
        <w:t>---------------------------------------------------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----------------------------------------------------------------------------------------------------</w:t>
      </w:r>
    </w:p>
    <w:p w:rsidR="00E0627B" w:rsidRDefault="00E0627B">
      <w:pPr>
        <w:spacing w:line="24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E0627B" w:rsidRDefault="002400C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CUARTO PUNTO DEL ORDEN DEL DÍA:</w:t>
      </w:r>
    </w:p>
    <w:p w:rsidR="00E0627B" w:rsidRDefault="002400C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Regidora Presidenta Jael Chamú Ponce: </w:t>
      </w:r>
      <w:r>
        <w:rPr>
          <w:rFonts w:ascii="Arial" w:eastAsia="Arial" w:hAnsi="Arial" w:cs="Arial"/>
          <w:color w:val="000000"/>
          <w:sz w:val="26"/>
          <w:szCs w:val="26"/>
        </w:rPr>
        <w:t>Pasando al cuarto punto del orden del día, Asuntos generales, les cedo el uso de la voz a los presentes, por si tienen algún asunto general que tratar.</w:t>
      </w:r>
    </w:p>
    <w:p w:rsidR="00E0627B" w:rsidRDefault="002400C1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Regidora María del Rosario Velázquez Hernández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6"/>
          <w:szCs w:val="26"/>
        </w:rPr>
        <w:t xml:space="preserve">  Buenas tardes a todas y todos. Felicitar y el trabajo y compromiso de equipamiento a escuelas, pues el hecho de que se rechace esta iniciativa es porque existe un programa  para </w:t>
      </w:r>
      <w:r>
        <w:rPr>
          <w:rFonts w:ascii="Arial" w:eastAsia="Arial" w:hAnsi="Arial" w:cs="Arial"/>
          <w:sz w:val="26"/>
          <w:szCs w:val="26"/>
        </w:rPr>
        <w:lastRenderedPageBreak/>
        <w:t>equipar las áreas operativas,</w:t>
      </w:r>
      <w:r>
        <w:rPr>
          <w:rFonts w:ascii="Arial" w:eastAsia="Arial" w:hAnsi="Arial" w:cs="Arial"/>
          <w:sz w:val="26"/>
          <w:szCs w:val="26"/>
        </w:rPr>
        <w:t xml:space="preserve"> además de tener el programa “2x1 por la  educación” para renovar las escuelas. Reconocer este esfuerzo que se hace. Muchas gracias.</w:t>
      </w:r>
    </w:p>
    <w:p w:rsidR="00E0627B" w:rsidRDefault="00E0627B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spacing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6"/>
          <w:szCs w:val="26"/>
        </w:rPr>
        <w:t xml:space="preserve">Hace uso de la voz la regidora Jael Chamú Ponce: </w:t>
      </w:r>
      <w:r>
        <w:rPr>
          <w:rFonts w:ascii="Arial" w:eastAsia="Arial" w:hAnsi="Arial" w:cs="Arial"/>
          <w:sz w:val="26"/>
          <w:szCs w:val="26"/>
        </w:rPr>
        <w:t>Gracias regidora Rosario por su participación. Como bien lo menciona este</w:t>
      </w:r>
      <w:r>
        <w:rPr>
          <w:rFonts w:ascii="Arial" w:eastAsia="Arial" w:hAnsi="Arial" w:cs="Arial"/>
          <w:sz w:val="26"/>
          <w:szCs w:val="26"/>
        </w:rPr>
        <w:t xml:space="preserve"> ayuntamiento cuenta con otros programas de mantenimiento y mejoramiento de los planteles escolares.</w:t>
      </w:r>
    </w:p>
    <w:p w:rsidR="00E0627B" w:rsidRDefault="002400C1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QUINTO PUNTO DEL ORDEN DEL DÍA:</w:t>
      </w:r>
    </w:p>
    <w:p w:rsidR="00E0627B" w:rsidRDefault="002400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Una vez agotado el orden del día y en cumplimiento al quinto punto, siendo las 12:16 horas del día 22 de junio del año 2023 declaro clausurada la presente sesión de la Comisión edilicia de Educación como convocante y la Comisión edilicia de Hacienda, Patri</w:t>
      </w:r>
      <w:r>
        <w:rPr>
          <w:rFonts w:ascii="Arial" w:eastAsia="Arial" w:hAnsi="Arial" w:cs="Arial"/>
          <w:color w:val="000000"/>
          <w:sz w:val="26"/>
          <w:szCs w:val="26"/>
        </w:rPr>
        <w:t>monio y Presupuesto como coadyuvante. </w:t>
      </w:r>
    </w:p>
    <w:p w:rsidR="00E0627B" w:rsidRDefault="002400C1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Gracias por su asistencia y buenas tardes.</w:t>
      </w:r>
    </w:p>
    <w:p w:rsidR="00E0627B" w:rsidRDefault="00E06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E0627B" w:rsidRDefault="002400C1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Integrantes de la Comisión edilicia de Educación</w:t>
      </w:r>
    </w:p>
    <w:p w:rsidR="00E0627B" w:rsidRDefault="00E0627B">
      <w:pPr>
        <w:spacing w:after="240" w:line="240" w:lineRule="auto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240" w:line="240" w:lineRule="auto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240" w:line="240" w:lineRule="auto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</w:t>
      </w: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Jael Chamú Ponce</w:t>
      </w:r>
    </w:p>
    <w:p w:rsidR="00E0627B" w:rsidRDefault="002400C1">
      <w:pPr>
        <w:spacing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Presidenta</w:t>
      </w:r>
    </w:p>
    <w:p w:rsidR="00E0627B" w:rsidRDefault="00E0627B">
      <w:pPr>
        <w:spacing w:after="240" w:line="240" w:lineRule="auto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240" w:line="240" w:lineRule="auto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____________________________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Fernanda Janeth Martínez Núñez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Vocal</w:t>
      </w:r>
      <w:r>
        <w:rPr>
          <w:rFonts w:ascii="Arial" w:eastAsia="Arial" w:hAnsi="Arial" w:cs="Arial"/>
          <w:color w:val="000000"/>
          <w:sz w:val="26"/>
          <w:szCs w:val="26"/>
        </w:rPr>
        <w:br/>
      </w:r>
      <w:r>
        <w:rPr>
          <w:rFonts w:ascii="Arial" w:eastAsia="Arial" w:hAnsi="Arial" w:cs="Arial"/>
          <w:color w:val="000000"/>
          <w:sz w:val="26"/>
          <w:szCs w:val="26"/>
        </w:rPr>
        <w:br/>
      </w:r>
      <w:r>
        <w:rPr>
          <w:rFonts w:ascii="Arial" w:eastAsia="Arial" w:hAnsi="Arial" w:cs="Arial"/>
          <w:color w:val="000000"/>
          <w:sz w:val="26"/>
          <w:szCs w:val="26"/>
        </w:rPr>
        <w:br/>
      </w:r>
    </w:p>
    <w:p w:rsidR="00E0627B" w:rsidRDefault="00E0627B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______________________________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Adriana del Carmen Zúñiga Guerrero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Vocal</w:t>
      </w:r>
    </w:p>
    <w:p w:rsidR="00E0627B" w:rsidRDefault="002400C1">
      <w:pPr>
        <w:spacing w:after="24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br/>
      </w:r>
      <w:r>
        <w:rPr>
          <w:rFonts w:ascii="Arial" w:eastAsia="Arial" w:hAnsi="Arial" w:cs="Arial"/>
          <w:color w:val="000000"/>
          <w:sz w:val="26"/>
          <w:szCs w:val="26"/>
        </w:rPr>
        <w:br/>
      </w:r>
    </w:p>
    <w:p w:rsidR="00E0627B" w:rsidRDefault="00E0627B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</w:t>
      </w: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Ana Rosa Loza Agraz</w:t>
      </w:r>
    </w:p>
    <w:p w:rsidR="00E0627B" w:rsidRDefault="002400C1">
      <w:pPr>
        <w:spacing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Vocal</w:t>
      </w:r>
    </w:p>
    <w:p w:rsidR="00E0627B" w:rsidRDefault="002400C1">
      <w:pPr>
        <w:spacing w:after="24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br/>
      </w:r>
      <w:r>
        <w:rPr>
          <w:rFonts w:ascii="Arial" w:eastAsia="Arial" w:hAnsi="Arial" w:cs="Arial"/>
          <w:color w:val="000000"/>
          <w:sz w:val="26"/>
          <w:szCs w:val="26"/>
        </w:rPr>
        <w:br/>
      </w: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________________________________</w:t>
      </w: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María del Rosario Velázquez Hernández</w:t>
      </w:r>
    </w:p>
    <w:p w:rsidR="00E0627B" w:rsidRDefault="002400C1">
      <w:pPr>
        <w:spacing w:line="240" w:lineRule="auto"/>
        <w:ind w:left="284" w:right="-518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Vocal</w:t>
      </w:r>
    </w:p>
    <w:p w:rsidR="00E0627B" w:rsidRDefault="00E0627B">
      <w:pPr>
        <w:spacing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Integrantes de la Comisión Edilicia de Hacienda, Patrimonio y Presupuesto</w:t>
      </w:r>
    </w:p>
    <w:p w:rsidR="00E0627B" w:rsidRDefault="00E0627B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E0627B" w:rsidRDefault="00E0627B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E0627B" w:rsidRDefault="00E0627B">
      <w:pPr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______________________________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Adriana del Carmen Zúñiga Guerrero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Presidenta</w:t>
      </w: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______________________________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José Luis Salázar Martínez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Síndico y Vocal</w:t>
      </w: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</w:t>
      </w:r>
      <w:r>
        <w:rPr>
          <w:rFonts w:ascii="Arial" w:eastAsia="Arial" w:hAnsi="Arial" w:cs="Arial"/>
          <w:sz w:val="26"/>
          <w:szCs w:val="26"/>
        </w:rPr>
        <w:t>__________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Fernanda Janeth Martínez Núñez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Vocal</w:t>
      </w: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______________________________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Juan Martín Núñez Morán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Vocal</w:t>
      </w: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______________________________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Anabel Ávila Martínez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Vocal</w:t>
      </w: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________________________________</w:t>
      </w: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María del Rosario Velázquez Hernández</w:t>
      </w:r>
    </w:p>
    <w:p w:rsidR="00E0627B" w:rsidRDefault="002400C1">
      <w:pPr>
        <w:spacing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Vocal</w:t>
      </w:r>
    </w:p>
    <w:p w:rsidR="00E0627B" w:rsidRDefault="00E0627B">
      <w:pPr>
        <w:spacing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line="240" w:lineRule="auto"/>
        <w:ind w:right="-518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_____________________________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Luis Arturo Morones Vargas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Vocal</w:t>
      </w: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</w:p>
    <w:p w:rsidR="00E0627B" w:rsidRDefault="002400C1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_____________________________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Susana Infante Paredes</w:t>
      </w:r>
    </w:p>
    <w:p w:rsidR="00E0627B" w:rsidRDefault="002400C1">
      <w:pPr>
        <w:spacing w:after="0" w:line="240" w:lineRule="auto"/>
        <w:ind w:left="7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Vocal</w:t>
      </w:r>
    </w:p>
    <w:p w:rsidR="00E0627B" w:rsidRDefault="00E0627B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</w:p>
    <w:p w:rsidR="00E0627B" w:rsidRDefault="00E0627B">
      <w:pPr>
        <w:spacing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</w:p>
    <w:p w:rsidR="00E0627B" w:rsidRDefault="00E0627B">
      <w:pPr>
        <w:rPr>
          <w:rFonts w:ascii="Arial" w:eastAsia="Arial" w:hAnsi="Arial" w:cs="Arial"/>
          <w:sz w:val="24"/>
          <w:szCs w:val="24"/>
        </w:rPr>
      </w:pPr>
    </w:p>
    <w:sectPr w:rsidR="00E0627B">
      <w:headerReference w:type="default" r:id="rId8"/>
      <w:footerReference w:type="default" r:id="rId9"/>
      <w:headerReference w:type="first" r:id="rId10"/>
      <w:footerReference w:type="first" r:id="rId11"/>
      <w:pgSz w:w="12240" w:h="20160"/>
      <w:pgMar w:top="1417" w:right="1700" w:bottom="1417" w:left="1700" w:header="708" w:footer="1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00C1">
      <w:pPr>
        <w:spacing w:after="0" w:line="240" w:lineRule="auto"/>
      </w:pPr>
      <w:r>
        <w:separator/>
      </w:r>
    </w:p>
  </w:endnote>
  <w:endnote w:type="continuationSeparator" w:id="0">
    <w:p w:rsidR="00000000" w:rsidRDefault="0024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7B" w:rsidRDefault="002400C1">
    <w:pPr>
      <w:jc w:val="both"/>
      <w:rPr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ESTA HOJA PERTENECE A LA </w:t>
    </w:r>
    <w:r>
      <w:rPr>
        <w:rFonts w:ascii="Arial" w:eastAsia="Arial" w:hAnsi="Arial" w:cs="Arial"/>
        <w:b/>
        <w:smallCaps/>
        <w:color w:val="000000"/>
        <w:sz w:val="16"/>
        <w:szCs w:val="16"/>
      </w:rPr>
      <w:t xml:space="preserve">DÉCIMA NOVENA SESIÓN DE LA COMISIÓN EDILICIA DE EDUCACIÓN </w:t>
    </w:r>
    <w:r>
      <w:rPr>
        <w:rFonts w:ascii="Arial" w:eastAsia="Arial" w:hAnsi="Arial" w:cs="Arial"/>
        <w:b/>
        <w:smallCaps/>
        <w:sz w:val="16"/>
        <w:szCs w:val="16"/>
      </w:rPr>
      <w:t xml:space="preserve">COMO CONVOCANTE Y LA COMISIÓN EDILICIA DE HACIENDA, PATRIMONIO Y PRESUPUESTO COMO COADYUVANTE </w:t>
    </w:r>
    <w:r>
      <w:rPr>
        <w:rFonts w:ascii="Arial" w:eastAsia="Arial" w:hAnsi="Arial" w:cs="Arial"/>
        <w:smallCaps/>
        <w:color w:val="000000"/>
        <w:sz w:val="16"/>
        <w:szCs w:val="16"/>
        <w:highlight w:val="white"/>
      </w:rPr>
      <w:t>C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ELEBRADA EL DÍA </w:t>
    </w:r>
    <w:r>
      <w:rPr>
        <w:rFonts w:ascii="Arial" w:eastAsia="Arial" w:hAnsi="Arial" w:cs="Arial"/>
        <w:b/>
        <w:smallCaps/>
        <w:color w:val="000000"/>
        <w:sz w:val="16"/>
        <w:szCs w:val="16"/>
      </w:rPr>
      <w:t>JUEVES 22 DE JUNIO DEL AÑO 2023</w:t>
    </w:r>
    <w:r>
      <w:rPr>
        <w:rFonts w:ascii="Arial" w:eastAsia="Arial" w:hAnsi="Arial" w:cs="Arial"/>
        <w:smallCaps/>
        <w:color w:val="000000"/>
        <w:sz w:val="16"/>
        <w:szCs w:val="16"/>
      </w:rPr>
      <w:t> EN EL SALÓN DEL PLENO DEL AYUNTAMIENTO CONSTITUCIONAL</w:t>
    </w:r>
    <w:r>
      <w:rPr>
        <w:rFonts w:ascii="Arial" w:eastAsia="Arial" w:hAnsi="Arial" w:cs="Arial"/>
        <w:color w:val="000000"/>
        <w:sz w:val="16"/>
        <w:szCs w:val="16"/>
      </w:rPr>
      <w:t xml:space="preserve"> D</w:t>
    </w:r>
    <w:r>
      <w:rPr>
        <w:rFonts w:ascii="Arial" w:eastAsia="Arial" w:hAnsi="Arial" w:cs="Arial"/>
        <w:color w:val="000000"/>
        <w:sz w:val="16"/>
        <w:szCs w:val="16"/>
      </w:rPr>
      <w:t>E SAN PEDRO TLAQUEPAQUE.</w:t>
    </w:r>
  </w:p>
  <w:p w:rsidR="00E0627B" w:rsidRDefault="00E0627B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7B" w:rsidRDefault="002400C1"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ESTA HOJA PERTENECE A LA </w:t>
    </w:r>
    <w:r>
      <w:rPr>
        <w:rFonts w:ascii="Arial" w:eastAsia="Arial" w:hAnsi="Arial" w:cs="Arial"/>
        <w:b/>
        <w:color w:val="000000"/>
        <w:sz w:val="16"/>
        <w:szCs w:val="16"/>
      </w:rPr>
      <w:t>DÉCIMA TERCERA SESIÓN ORDINARIA</w:t>
    </w:r>
    <w:r>
      <w:rPr>
        <w:rFonts w:ascii="Arial" w:eastAsia="Arial" w:hAnsi="Arial" w:cs="Arial"/>
        <w:color w:val="000000"/>
        <w:sz w:val="16"/>
        <w:szCs w:val="16"/>
      </w:rPr>
      <w:t xml:space="preserve"> DE LA COMISIÓN EDILICIA DE EDUCACIÓN </w:t>
    </w:r>
    <w:r>
      <w:rPr>
        <w:rFonts w:ascii="Arial" w:eastAsia="Arial" w:hAnsi="Arial" w:cs="Arial"/>
        <w:smallCaps/>
        <w:color w:val="000000"/>
        <w:sz w:val="16"/>
        <w:szCs w:val="16"/>
        <w:highlight w:val="white"/>
      </w:rPr>
      <w:t>C</w:t>
    </w:r>
    <w:r>
      <w:rPr>
        <w:rFonts w:ascii="Arial" w:eastAsia="Arial" w:hAnsi="Arial" w:cs="Arial"/>
        <w:color w:val="000000"/>
        <w:sz w:val="16"/>
        <w:szCs w:val="16"/>
      </w:rPr>
      <w:t xml:space="preserve">ELEBRADA EL VIERNES 16 </w:t>
    </w:r>
    <w:r>
      <w:rPr>
        <w:rFonts w:ascii="Arial" w:eastAsia="Arial" w:hAnsi="Arial" w:cs="Arial"/>
        <w:b/>
        <w:color w:val="000000"/>
        <w:sz w:val="16"/>
        <w:szCs w:val="16"/>
      </w:rPr>
      <w:t xml:space="preserve"> DE DICIEMBRE DEL AÑO 2022 </w:t>
    </w:r>
    <w:r>
      <w:rPr>
        <w:rFonts w:ascii="Arial" w:eastAsia="Arial" w:hAnsi="Arial" w:cs="Arial"/>
        <w:color w:val="000000"/>
        <w:sz w:val="16"/>
        <w:szCs w:val="16"/>
      </w:rPr>
      <w:t>EN AL SALA DE REGIDORES DEL AYUNTAMIENTO CONSTITUCIONAL DE SAN PEDRO TLAQUEPAQUE PRES</w:t>
    </w:r>
    <w:r>
      <w:rPr>
        <w:rFonts w:ascii="Arial" w:eastAsia="Arial" w:hAnsi="Arial" w:cs="Arial"/>
        <w:color w:val="000000"/>
        <w:sz w:val="16"/>
        <w:szCs w:val="16"/>
      </w:rPr>
      <w:t xml:space="preserve">ENTAR </w:t>
    </w:r>
    <w:r>
      <w:rPr>
        <w:rFonts w:ascii="Arial" w:eastAsia="Arial" w:hAnsi="Arial" w:cs="Arial"/>
        <w:smallCaps/>
        <w:color w:val="000000"/>
        <w:sz w:val="16"/>
        <w:szCs w:val="16"/>
      </w:rPr>
      <w:t>INFORME DE ACTIVIDADES DE LA COMISIÓN EDILICIA DE EDUCACIÓN.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00C1">
      <w:pPr>
        <w:spacing w:after="0" w:line="240" w:lineRule="auto"/>
      </w:pPr>
      <w:r>
        <w:separator/>
      </w:r>
    </w:p>
  </w:footnote>
  <w:footnote w:type="continuationSeparator" w:id="0">
    <w:p w:rsidR="00000000" w:rsidRDefault="0024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7B" w:rsidRDefault="002400C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7B" w:rsidRDefault="002400C1">
    <w:pPr>
      <w:jc w:val="right"/>
    </w:pPr>
    <w:r>
      <w:fldChar w:fldCharType="begin"/>
    </w:r>
    <w:r>
      <w:instrText>PAGE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7B"/>
    <w:rsid w:val="002400C1"/>
    <w:rsid w:val="00E0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12A70-EFAA-41A0-AA02-04954B78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2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1A156D"/>
    <w:pPr>
      <w:ind w:left="720"/>
      <w:contextualSpacing/>
    </w:pPr>
  </w:style>
  <w:style w:type="table" w:customStyle="1" w:styleId="a2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aconcuadrcula">
    <w:name w:val="Table Grid"/>
    <w:basedOn w:val="Tablanormal"/>
    <w:uiPriority w:val="39"/>
    <w:rsid w:val="005E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1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15C"/>
  </w:style>
  <w:style w:type="paragraph" w:styleId="Piedepgina">
    <w:name w:val="footer"/>
    <w:basedOn w:val="Normal"/>
    <w:link w:val="PiedepginaCar"/>
    <w:uiPriority w:val="99"/>
    <w:unhideWhenUsed/>
    <w:rsid w:val="000D1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15C"/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uentedeprrafopredeter"/>
    <w:rsid w:val="00C7450D"/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F0DmLse36CGsuJDcswAstIiUMA==">CgMxLjA4AHIhMThzRm1XQy1Yb05pSFViblpOR3FzZjBrSF9lTDZJcjZP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1248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Carranza</dc:creator>
  <cp:lastModifiedBy>Paola Alejandrina Razón Viram</cp:lastModifiedBy>
  <cp:revision>2</cp:revision>
  <dcterms:created xsi:type="dcterms:W3CDTF">2022-03-08T20:00:00Z</dcterms:created>
  <dcterms:modified xsi:type="dcterms:W3CDTF">2023-07-10T19:30:00Z</dcterms:modified>
</cp:coreProperties>
</file>