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DDEC" w14:textId="77777777" w:rsidR="005B0F97" w:rsidRDefault="005B0F97" w:rsidP="005B0F97">
      <w:pPr>
        <w:rPr>
          <w:rFonts w:ascii="Times New Roman" w:hAnsi="Times New Roman" w:cs="Times New Roman"/>
          <w:sz w:val="24"/>
        </w:rPr>
      </w:pPr>
    </w:p>
    <w:p w14:paraId="59D8A4C3" w14:textId="77777777" w:rsidR="005B0F97" w:rsidRDefault="005B0F97" w:rsidP="005B0F97">
      <w:pPr>
        <w:jc w:val="center"/>
        <w:rPr>
          <w:rFonts w:ascii="Times New Roman" w:hAnsi="Times New Roman" w:cs="Times New Roman"/>
          <w:b/>
          <w:sz w:val="28"/>
        </w:rPr>
      </w:pPr>
    </w:p>
    <w:p w14:paraId="6735BA9C" w14:textId="77777777" w:rsidR="005B0F97" w:rsidRDefault="00BF3EE3" w:rsidP="005B0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INVESTIGACIÓN ADMINISTRATIVA</w:t>
      </w:r>
    </w:p>
    <w:p w14:paraId="1344D07C" w14:textId="20AB38A3" w:rsidR="00245F4C" w:rsidRDefault="0046689C" w:rsidP="005B0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Mayo</w:t>
      </w:r>
      <w:r w:rsidR="00245F4C">
        <w:rPr>
          <w:rFonts w:ascii="Times New Roman" w:hAnsi="Times New Roman" w:cs="Times New Roman"/>
          <w:b/>
          <w:sz w:val="28"/>
        </w:rPr>
        <w:t xml:space="preserve"> 202</w:t>
      </w:r>
      <w:r w:rsidR="00323711">
        <w:rPr>
          <w:rFonts w:ascii="Times New Roman" w:hAnsi="Times New Roman" w:cs="Times New Roman"/>
          <w:b/>
          <w:sz w:val="28"/>
        </w:rPr>
        <w:t>3</w:t>
      </w:r>
      <w:r w:rsidR="00642B31">
        <w:rPr>
          <w:rFonts w:ascii="Times New Roman" w:hAnsi="Times New Roman" w:cs="Times New Roman"/>
          <w:b/>
          <w:sz w:val="28"/>
        </w:rPr>
        <w:t>.</w:t>
      </w:r>
    </w:p>
    <w:p w14:paraId="51FEE868" w14:textId="77777777" w:rsidR="005B0F97" w:rsidRPr="008B4B72" w:rsidRDefault="005B0F97" w:rsidP="005B0F97">
      <w:pPr>
        <w:rPr>
          <w:rFonts w:ascii="Times New Roman" w:hAnsi="Times New Roman" w:cs="Times New Roman"/>
          <w:b/>
          <w:sz w:val="24"/>
        </w:rPr>
      </w:pPr>
    </w:p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127"/>
        <w:gridCol w:w="2551"/>
        <w:gridCol w:w="6946"/>
      </w:tblGrid>
      <w:tr w:rsidR="007D23A7" w:rsidRPr="008B4B72" w14:paraId="1E19D644" w14:textId="77777777" w:rsidTr="007D23A7">
        <w:trPr>
          <w:trHeight w:val="68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B26C2EF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sz w:val="24"/>
                <w:szCs w:val="24"/>
              </w:rPr>
              <w:t>Denuncias recibidas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9112CE7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Trámites Concluidos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2F49135" w14:textId="77777777" w:rsidR="007D23A7" w:rsidRPr="00245F4C" w:rsidRDefault="007D23A7" w:rsidP="00373FAB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Probable responsabilidad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B735852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Concluidos sin elementos</w:t>
            </w:r>
          </w:p>
        </w:tc>
        <w:tc>
          <w:tcPr>
            <w:tcW w:w="2551" w:type="dxa"/>
            <w:shd w:val="clear" w:color="auto" w:fill="E7E6E6" w:themeFill="background2"/>
          </w:tcPr>
          <w:p w14:paraId="1310393B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Incompetencias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0704527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Buenas prácticas.</w:t>
            </w:r>
          </w:p>
        </w:tc>
      </w:tr>
      <w:tr w:rsidR="007D23A7" w:rsidRPr="008B4B72" w14:paraId="40CE8899" w14:textId="77777777" w:rsidTr="007D23A7">
        <w:trPr>
          <w:trHeight w:val="2082"/>
        </w:trPr>
        <w:tc>
          <w:tcPr>
            <w:tcW w:w="1560" w:type="dxa"/>
            <w:shd w:val="clear" w:color="auto" w:fill="auto"/>
            <w:vAlign w:val="center"/>
          </w:tcPr>
          <w:p w14:paraId="603DB429" w14:textId="5D888CCC" w:rsidR="007D23A7" w:rsidRDefault="008618BA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D69D4">
              <w:rPr>
                <w:rFonts w:ascii="Calibri" w:hAnsi="Calibri" w:cs="Calibri"/>
                <w:color w:val="000000"/>
              </w:rPr>
              <w:t>2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doce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57158" w14:textId="5F2E4967" w:rsidR="007D23A7" w:rsidRDefault="008618BA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diez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4A1EC0" w14:textId="641F42E0" w:rsidR="007D23A7" w:rsidRDefault="008618BA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cuatro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8A872A" w14:textId="075275F6" w:rsidR="007D23A7" w:rsidRDefault="008618BA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cinco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551" w:type="dxa"/>
          </w:tcPr>
          <w:p w14:paraId="627020CF" w14:textId="77777777" w:rsid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2A79B24" w14:textId="77777777" w:rsid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2F763CE" w14:textId="04BAD51D" w:rsidR="007D23A7" w:rsidRDefault="00323711" w:rsidP="00423A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618BA">
              <w:rPr>
                <w:rFonts w:ascii="Calibri" w:hAnsi="Calibri" w:cs="Calibri"/>
                <w:color w:val="000000"/>
              </w:rPr>
              <w:t>1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8618BA">
              <w:rPr>
                <w:rFonts w:ascii="Calibri" w:hAnsi="Calibri" w:cs="Calibri"/>
                <w:color w:val="000000"/>
              </w:rPr>
              <w:t>uno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  <w:p w14:paraId="17BCCABB" w14:textId="77777777" w:rsidR="007D23A7" w:rsidRP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80DF67" w14:textId="77777777" w:rsidR="007D23A7" w:rsidRDefault="007D23A7" w:rsidP="00245F4C">
            <w:pPr>
              <w:pStyle w:val="Prrafodelista"/>
              <w:jc w:val="both"/>
              <w:rPr>
                <w:rFonts w:ascii="Calibri" w:hAnsi="Calibri" w:cs="Calibri"/>
                <w:color w:val="000000"/>
              </w:rPr>
            </w:pPr>
          </w:p>
          <w:p w14:paraId="71075180" w14:textId="66EDF8B5" w:rsidR="007D23A7" w:rsidRPr="007D23A7" w:rsidRDefault="007D23A7" w:rsidP="007D23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7D23A7">
              <w:rPr>
                <w:rFonts w:ascii="Calibri" w:hAnsi="Calibri" w:cs="Calibri"/>
                <w:color w:val="000000"/>
              </w:rPr>
              <w:t xml:space="preserve">Se atendieron </w:t>
            </w:r>
            <w:r w:rsidR="00EF7914">
              <w:rPr>
                <w:rFonts w:ascii="Calibri" w:hAnsi="Calibri" w:cs="Calibri"/>
                <w:color w:val="000000"/>
              </w:rPr>
              <w:t>al cien por ciento las denuncias recibidas en sus diferente</w:t>
            </w:r>
            <w:r w:rsidR="00E27A84">
              <w:rPr>
                <w:rFonts w:ascii="Calibri" w:hAnsi="Calibri" w:cs="Calibri"/>
                <w:color w:val="000000"/>
              </w:rPr>
              <w:t>s</w:t>
            </w:r>
            <w:r w:rsidR="00EF7914">
              <w:rPr>
                <w:rFonts w:ascii="Calibri" w:hAnsi="Calibri" w:cs="Calibri"/>
                <w:color w:val="000000"/>
              </w:rPr>
              <w:t xml:space="preserve"> modalidades. </w:t>
            </w:r>
          </w:p>
        </w:tc>
      </w:tr>
    </w:tbl>
    <w:p w14:paraId="4E5B1B0A" w14:textId="77777777" w:rsidR="005B0F97" w:rsidRDefault="005B0F97" w:rsidP="005B0F97">
      <w:pPr>
        <w:rPr>
          <w:rFonts w:ascii="Times New Roman" w:hAnsi="Times New Roman" w:cs="Times New Roman"/>
          <w:sz w:val="24"/>
        </w:rPr>
      </w:pPr>
    </w:p>
    <w:p w14:paraId="18293716" w14:textId="2EB77BE1" w:rsidR="00524292" w:rsidRPr="00524292" w:rsidRDefault="00524292" w:rsidP="00F40168">
      <w:pPr>
        <w:jc w:val="both"/>
        <w:rPr>
          <w:rFonts w:ascii="Times New Roman" w:hAnsi="Times New Roman" w:cs="Times New Roman"/>
          <w:sz w:val="24"/>
        </w:rPr>
      </w:pPr>
      <w:r w:rsidRPr="00524292">
        <w:rPr>
          <w:rFonts w:ascii="Times New Roman" w:hAnsi="Times New Roman" w:cs="Times New Roman"/>
          <w:sz w:val="24"/>
        </w:rPr>
        <w:t>La Dirección de Investigación Administrativa</w:t>
      </w:r>
      <w:r w:rsidR="00245F4C">
        <w:rPr>
          <w:rFonts w:ascii="Times New Roman" w:hAnsi="Times New Roman" w:cs="Times New Roman"/>
          <w:sz w:val="24"/>
        </w:rPr>
        <w:t xml:space="preserve">, recibió </w:t>
      </w:r>
      <w:r w:rsidR="001D69D4">
        <w:rPr>
          <w:rFonts w:ascii="Times New Roman" w:hAnsi="Times New Roman" w:cs="Times New Roman"/>
          <w:sz w:val="24"/>
        </w:rPr>
        <w:t>12</w:t>
      </w:r>
      <w:r w:rsidRPr="00524292">
        <w:rPr>
          <w:rFonts w:ascii="Times New Roman" w:hAnsi="Times New Roman" w:cs="Times New Roman"/>
          <w:sz w:val="24"/>
        </w:rPr>
        <w:t xml:space="preserve"> denuncias</w:t>
      </w:r>
      <w:r w:rsidR="00323711">
        <w:rPr>
          <w:rFonts w:ascii="Times New Roman" w:hAnsi="Times New Roman" w:cs="Times New Roman"/>
          <w:sz w:val="24"/>
        </w:rPr>
        <w:t xml:space="preserve"> durante este mes</w:t>
      </w:r>
      <w:r w:rsidRPr="00524292">
        <w:rPr>
          <w:rFonts w:ascii="Times New Roman" w:hAnsi="Times New Roman" w:cs="Times New Roman"/>
          <w:sz w:val="24"/>
        </w:rPr>
        <w:t>, se ha</w:t>
      </w:r>
      <w:r w:rsidR="00F40168">
        <w:rPr>
          <w:rFonts w:ascii="Times New Roman" w:hAnsi="Times New Roman" w:cs="Times New Roman"/>
          <w:sz w:val="24"/>
        </w:rPr>
        <w:t>n</w:t>
      </w:r>
      <w:r w:rsidR="00F726D7">
        <w:rPr>
          <w:rFonts w:ascii="Times New Roman" w:hAnsi="Times New Roman" w:cs="Times New Roman"/>
          <w:sz w:val="24"/>
        </w:rPr>
        <w:t xml:space="preserve"> concluido el trámite de </w:t>
      </w:r>
      <w:r w:rsidR="0046689C">
        <w:rPr>
          <w:rFonts w:ascii="Times New Roman" w:hAnsi="Times New Roman" w:cs="Times New Roman"/>
          <w:sz w:val="24"/>
        </w:rPr>
        <w:t>12</w:t>
      </w:r>
      <w:r w:rsidR="00F726D7">
        <w:rPr>
          <w:rFonts w:ascii="Times New Roman" w:hAnsi="Times New Roman" w:cs="Times New Roman"/>
          <w:sz w:val="24"/>
        </w:rPr>
        <w:t xml:space="preserve"> denuncias de las cuales, </w:t>
      </w:r>
      <w:r w:rsidR="00223703">
        <w:rPr>
          <w:rFonts w:ascii="Times New Roman" w:hAnsi="Times New Roman" w:cs="Times New Roman"/>
          <w:sz w:val="24"/>
        </w:rPr>
        <w:t>0</w:t>
      </w:r>
      <w:r w:rsidR="0046689C">
        <w:rPr>
          <w:rFonts w:ascii="Times New Roman" w:hAnsi="Times New Roman" w:cs="Times New Roman"/>
          <w:sz w:val="24"/>
        </w:rPr>
        <w:t>4</w:t>
      </w:r>
      <w:r w:rsidRPr="00524292">
        <w:rPr>
          <w:rFonts w:ascii="Times New Roman" w:hAnsi="Times New Roman" w:cs="Times New Roman"/>
          <w:sz w:val="24"/>
        </w:rPr>
        <w:t xml:space="preserve"> denuncia</w:t>
      </w:r>
      <w:r w:rsidR="00F726D7">
        <w:rPr>
          <w:rFonts w:ascii="Times New Roman" w:hAnsi="Times New Roman" w:cs="Times New Roman"/>
          <w:sz w:val="24"/>
        </w:rPr>
        <w:t>s</w:t>
      </w:r>
      <w:r w:rsidR="00323711">
        <w:rPr>
          <w:rFonts w:ascii="Times New Roman" w:hAnsi="Times New Roman" w:cs="Times New Roman"/>
          <w:sz w:val="24"/>
        </w:rPr>
        <w:t xml:space="preserve"> </w:t>
      </w:r>
      <w:r w:rsidR="00F726D7">
        <w:rPr>
          <w:rFonts w:ascii="Times New Roman" w:hAnsi="Times New Roman" w:cs="Times New Roman"/>
          <w:sz w:val="24"/>
        </w:rPr>
        <w:t>se identificaron</w:t>
      </w:r>
      <w:r w:rsidRPr="00524292">
        <w:rPr>
          <w:rFonts w:ascii="Times New Roman" w:hAnsi="Times New Roman" w:cs="Times New Roman"/>
          <w:sz w:val="24"/>
        </w:rPr>
        <w:t xml:space="preserve"> con elementos suficientes para ejercitar la acción sancio</w:t>
      </w:r>
      <w:r w:rsidR="00F726D7">
        <w:rPr>
          <w:rFonts w:ascii="Times New Roman" w:hAnsi="Times New Roman" w:cs="Times New Roman"/>
          <w:sz w:val="24"/>
        </w:rPr>
        <w:t xml:space="preserve">natoria (de responsabilidad), </w:t>
      </w:r>
      <w:r w:rsidR="00323711">
        <w:rPr>
          <w:rFonts w:ascii="Times New Roman" w:hAnsi="Times New Roman" w:cs="Times New Roman"/>
          <w:sz w:val="24"/>
        </w:rPr>
        <w:t>0</w:t>
      </w:r>
      <w:r w:rsidR="0046689C">
        <w:rPr>
          <w:rFonts w:ascii="Times New Roman" w:hAnsi="Times New Roman" w:cs="Times New Roman"/>
          <w:sz w:val="24"/>
        </w:rPr>
        <w:t>5</w:t>
      </w:r>
      <w:r w:rsidRPr="00524292">
        <w:rPr>
          <w:rFonts w:ascii="Times New Roman" w:hAnsi="Times New Roman" w:cs="Times New Roman"/>
          <w:sz w:val="24"/>
        </w:rPr>
        <w:t xml:space="preserve"> se encuentran en archivo temporal puesto que en las investigaciones correspondientes se determinó la falta de elementos para establecer la existencia de actos u omisiones constitutivas de responsabilidad administrativa y en su caso señalar la identidad del o los probables responsables, en tanto que esta autoridad se declaró incompetente para conocer de los hechos de 0</w:t>
      </w:r>
      <w:r w:rsidR="00B40A37">
        <w:rPr>
          <w:rFonts w:ascii="Times New Roman" w:hAnsi="Times New Roman" w:cs="Times New Roman"/>
          <w:sz w:val="24"/>
        </w:rPr>
        <w:t>1</w:t>
      </w:r>
      <w:r w:rsidRPr="00524292">
        <w:rPr>
          <w:rFonts w:ascii="Times New Roman" w:hAnsi="Times New Roman" w:cs="Times New Roman"/>
          <w:sz w:val="24"/>
        </w:rPr>
        <w:t xml:space="preserve"> denuncias, dejando a salvo los derechos del denunciante para que los ejercitase en la instancia que corresponda. </w:t>
      </w:r>
    </w:p>
    <w:p w14:paraId="0033026A" w14:textId="77777777" w:rsidR="004B5539" w:rsidRDefault="0046689C" w:rsidP="00BC3576">
      <w:pPr>
        <w:jc w:val="both"/>
      </w:pPr>
    </w:p>
    <w:sectPr w:rsidR="004B5539" w:rsidSect="008F64D6">
      <w:headerReference w:type="default" r:id="rId8"/>
      <w:pgSz w:w="19298" w:h="12240" w:orient="landscape" w:code="29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8486" w14:textId="77777777" w:rsidR="00037B54" w:rsidRDefault="00037B54">
      <w:pPr>
        <w:spacing w:after="0" w:line="240" w:lineRule="auto"/>
      </w:pPr>
      <w:r>
        <w:separator/>
      </w:r>
    </w:p>
  </w:endnote>
  <w:endnote w:type="continuationSeparator" w:id="0">
    <w:p w14:paraId="2A7C6D7A" w14:textId="77777777" w:rsidR="00037B54" w:rsidRDefault="000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820" w14:textId="77777777" w:rsidR="00037B54" w:rsidRDefault="00037B54">
      <w:pPr>
        <w:spacing w:after="0" w:line="240" w:lineRule="auto"/>
      </w:pPr>
      <w:r>
        <w:separator/>
      </w:r>
    </w:p>
  </w:footnote>
  <w:footnote w:type="continuationSeparator" w:id="0">
    <w:p w14:paraId="19738E80" w14:textId="77777777" w:rsidR="00037B54" w:rsidRDefault="0003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45C" w14:textId="77777777" w:rsidR="008935B1" w:rsidRDefault="005B0F97">
    <w:pPr>
      <w:pStyle w:val="Encabezado"/>
    </w:pPr>
    <w:r w:rsidRPr="00C826B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C06D56" wp14:editId="632F3A81">
          <wp:simplePos x="0" y="0"/>
          <wp:positionH relativeFrom="column">
            <wp:posOffset>5178867</wp:posOffset>
          </wp:positionH>
          <wp:positionV relativeFrom="paragraph">
            <wp:posOffset>12783</wp:posOffset>
          </wp:positionV>
          <wp:extent cx="858741" cy="8587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26B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E464E5" wp14:editId="45FF6C99">
          <wp:simplePos x="0" y="0"/>
          <wp:positionH relativeFrom="column">
            <wp:posOffset>-349222</wp:posOffset>
          </wp:positionH>
          <wp:positionV relativeFrom="paragraph">
            <wp:posOffset>-4776</wp:posOffset>
          </wp:positionV>
          <wp:extent cx="858741" cy="858741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58EA"/>
    <w:multiLevelType w:val="hybridMultilevel"/>
    <w:tmpl w:val="1E064370"/>
    <w:lvl w:ilvl="0" w:tplc="AA4214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5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97"/>
    <w:rsid w:val="00037B54"/>
    <w:rsid w:val="000B0B3A"/>
    <w:rsid w:val="000D03B4"/>
    <w:rsid w:val="00106586"/>
    <w:rsid w:val="001631A1"/>
    <w:rsid w:val="00193BEB"/>
    <w:rsid w:val="001D69D4"/>
    <w:rsid w:val="001D7A4B"/>
    <w:rsid w:val="00223703"/>
    <w:rsid w:val="00245F4C"/>
    <w:rsid w:val="002C0A75"/>
    <w:rsid w:val="00323711"/>
    <w:rsid w:val="00423AB0"/>
    <w:rsid w:val="0046689C"/>
    <w:rsid w:val="00524292"/>
    <w:rsid w:val="00580F1B"/>
    <w:rsid w:val="005B0F97"/>
    <w:rsid w:val="00642B31"/>
    <w:rsid w:val="006B28BD"/>
    <w:rsid w:val="0079061E"/>
    <w:rsid w:val="007D23A7"/>
    <w:rsid w:val="008618BA"/>
    <w:rsid w:val="008F64D6"/>
    <w:rsid w:val="00A21D5D"/>
    <w:rsid w:val="00A41A29"/>
    <w:rsid w:val="00AD2AC3"/>
    <w:rsid w:val="00AF2DFF"/>
    <w:rsid w:val="00B3223F"/>
    <w:rsid w:val="00B40A37"/>
    <w:rsid w:val="00BC3576"/>
    <w:rsid w:val="00BF3EE3"/>
    <w:rsid w:val="00E27A84"/>
    <w:rsid w:val="00EF7914"/>
    <w:rsid w:val="00F40168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710D"/>
  <w15:chartTrackingRefBased/>
  <w15:docId w15:val="{BF8F393A-8A92-468A-BCEE-0612CCC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97"/>
  </w:style>
  <w:style w:type="paragraph" w:styleId="Prrafodelista">
    <w:name w:val="List Paragraph"/>
    <w:basedOn w:val="Normal"/>
    <w:uiPriority w:val="34"/>
    <w:qFormat/>
    <w:rsid w:val="007D23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2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A7"/>
  </w:style>
  <w:style w:type="paragraph" w:styleId="Textodeglobo">
    <w:name w:val="Balloon Text"/>
    <w:basedOn w:val="Normal"/>
    <w:link w:val="TextodegloboCar"/>
    <w:uiPriority w:val="99"/>
    <w:semiHidden/>
    <w:unhideWhenUsed/>
    <w:rsid w:val="0024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9B7F-B373-430F-A95F-A568DAFB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Isela Vazquez Espinoza</dc:creator>
  <cp:keywords/>
  <dc:description/>
  <cp:lastModifiedBy>CONTRALORIA CIUDADANA</cp:lastModifiedBy>
  <cp:revision>2</cp:revision>
  <cp:lastPrinted>2023-06-12T16:43:00Z</cp:lastPrinted>
  <dcterms:created xsi:type="dcterms:W3CDTF">2023-06-12T16:44:00Z</dcterms:created>
  <dcterms:modified xsi:type="dcterms:W3CDTF">2023-06-12T16:44:00Z</dcterms:modified>
</cp:coreProperties>
</file>