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COMISIÓN EDILICIA DE SEGURIDAD PÚBLICA Y PROTECCIÓN CIVIL Y BOMBEROS DEL AYUNTAMIENTO </w:t>
      </w: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CONSTITUCIONAL DE SAN PEDRO TLAQUEPAQUE, JALISCO--------------------------------------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----Acta de la Décima Segunda Sesión Ordinaria de fecha 30 de enero de 2022---------------------------------------------------------------------------------. Lcda. Mirna Citlalli Amaya de Luna, Presidenta Municipal y  Presidenta de la Comisión; </w:t>
      </w:r>
      <w:r>
        <w:rPr>
          <w:rFonts w:ascii="Arial" w:eastAsia="Arial" w:hAnsi="Arial" w:cs="Arial"/>
          <w:sz w:val="28"/>
          <w:szCs w:val="28"/>
        </w:rPr>
        <w:t xml:space="preserve">Muy buenas </w:t>
      </w:r>
      <w:r>
        <w:rPr>
          <w:rFonts w:ascii="Arial" w:eastAsia="Arial" w:hAnsi="Arial" w:cs="Arial"/>
          <w:sz w:val="28"/>
          <w:szCs w:val="28"/>
        </w:rPr>
        <w:t xml:space="preserve">tardes, les doy la bienvenida a mis compañera Regidora y compañeros Regidores  que integran la Comisión de Seguridad Pública y Protección Civil y Bomberos, les </w:t>
      </w:r>
      <w:proofErr w:type="gramStart"/>
      <w:r>
        <w:rPr>
          <w:rFonts w:ascii="Arial" w:eastAsia="Arial" w:hAnsi="Arial" w:cs="Arial"/>
          <w:sz w:val="28"/>
          <w:szCs w:val="28"/>
        </w:rPr>
        <w:t>damos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la bienvenida también a la Secretaría del Ayuntamiento de San Pedro Tlaquepaque y a todos </w:t>
      </w:r>
      <w:r>
        <w:rPr>
          <w:rFonts w:ascii="Arial" w:eastAsia="Arial" w:hAnsi="Arial" w:cs="Arial"/>
          <w:sz w:val="28"/>
          <w:szCs w:val="28"/>
        </w:rPr>
        <w:t>los que el día de hoy nos honran con su presencia.------------------------------------------------------------------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Siendo las 14 catorce horas con 10 diez minutos del día 30 treinta de enero del año 2023 dos mil veintitrés y encontrándonos reunidos en la</w:t>
      </w:r>
      <w:r>
        <w:rPr>
          <w:rFonts w:ascii="Arial" w:eastAsia="Arial" w:hAnsi="Arial" w:cs="Arial"/>
          <w:sz w:val="28"/>
          <w:szCs w:val="28"/>
        </w:rPr>
        <w:t xml:space="preserve"> Sala de Expresidentas y Expresidentes con fundamento en lo dispuesto por los artículos 76, 77, 84, 87 y 97 del Reglamento del Gobierno y de la Administración Pública del Ayuntamiento Constitucional de San Pedro Tlaquepaque, damos inicio a la Décima Segund</w:t>
      </w:r>
      <w:r>
        <w:rPr>
          <w:rFonts w:ascii="Arial" w:eastAsia="Arial" w:hAnsi="Arial" w:cs="Arial"/>
          <w:sz w:val="28"/>
          <w:szCs w:val="28"/>
        </w:rPr>
        <w:t>a Sesión Ordinaria de la Comisión Edilicia de Seguridad Pública y Protección Civil y Bomberos, a continuación para dar cumplimiento al primer punto orden del día se procede a nombrar lista de asistencia a efectos de verificar que existe el Quórum legal par</w:t>
      </w:r>
      <w:r>
        <w:rPr>
          <w:rFonts w:ascii="Arial" w:eastAsia="Arial" w:hAnsi="Arial" w:cs="Arial"/>
          <w:sz w:val="28"/>
          <w:szCs w:val="28"/>
        </w:rPr>
        <w:t>a poder sesionar, por lo que cedo el uso de la voz al Secretario Técnico de esta comisión.  —----------------------------------------------------------------------------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Secretario Técnico: </w:t>
      </w:r>
      <w:r>
        <w:rPr>
          <w:rFonts w:ascii="Arial" w:eastAsia="Arial" w:hAnsi="Arial" w:cs="Arial"/>
          <w:sz w:val="28"/>
          <w:szCs w:val="28"/>
        </w:rPr>
        <w:t>Gracias, procedo a nombrar lista de los presentes:</w:t>
      </w:r>
    </w:p>
    <w:tbl>
      <w:tblPr>
        <w:tblStyle w:val="a8"/>
        <w:tblW w:w="883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9"/>
        <w:gridCol w:w="1411"/>
        <w:gridCol w:w="1401"/>
        <w:gridCol w:w="1706"/>
        <w:gridCol w:w="1023"/>
        <w:gridCol w:w="2103"/>
      </w:tblGrid>
      <w:tr w:rsidR="00DF0559">
        <w:tc>
          <w:tcPr>
            <w:tcW w:w="1189" w:type="dxa"/>
          </w:tcPr>
          <w:p w:rsidR="00DF0559" w:rsidRDefault="00A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411" w:type="dxa"/>
          </w:tcPr>
          <w:p w:rsidR="00DF0559" w:rsidRDefault="00AA29A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01" w:type="dxa"/>
          </w:tcPr>
          <w:p w:rsidR="00DF0559" w:rsidRDefault="00A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1706" w:type="dxa"/>
          </w:tcPr>
          <w:p w:rsidR="00DF0559" w:rsidRDefault="00A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ASISTENCIA</w:t>
            </w:r>
          </w:p>
        </w:tc>
        <w:tc>
          <w:tcPr>
            <w:tcW w:w="1023" w:type="dxa"/>
          </w:tcPr>
          <w:p w:rsidR="00DF0559" w:rsidRDefault="00A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FALTA</w:t>
            </w:r>
          </w:p>
        </w:tc>
        <w:tc>
          <w:tcPr>
            <w:tcW w:w="2103" w:type="dxa"/>
          </w:tcPr>
          <w:p w:rsidR="00DF0559" w:rsidRDefault="00AA29AD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JUSTIFICACIÓN</w:t>
            </w:r>
          </w:p>
        </w:tc>
      </w:tr>
      <w:tr w:rsidR="00DF0559">
        <w:tc>
          <w:tcPr>
            <w:tcW w:w="1189" w:type="dxa"/>
          </w:tcPr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Presidenta de la Comisión Edilicia.</w:t>
            </w:r>
          </w:p>
        </w:tc>
        <w:tc>
          <w:tcPr>
            <w:tcW w:w="1401" w:type="dxa"/>
          </w:tcPr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Mirna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3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Citlalli</w:t>
            </w: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Amaya de Luna.</w:t>
            </w:r>
          </w:p>
        </w:tc>
        <w:tc>
          <w:tcPr>
            <w:tcW w:w="1706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02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F0559">
        <w:tc>
          <w:tcPr>
            <w:tcW w:w="1189" w:type="dxa"/>
          </w:tcPr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01" w:type="dxa"/>
          </w:tcPr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Braulio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4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Ernesto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/>
              <w:ind w:left="1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García</w:t>
            </w: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Pérez.</w:t>
            </w:r>
          </w:p>
        </w:tc>
        <w:tc>
          <w:tcPr>
            <w:tcW w:w="1706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02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F0559">
        <w:tc>
          <w:tcPr>
            <w:tcW w:w="1189" w:type="dxa"/>
          </w:tcPr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411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01" w:type="dxa"/>
          </w:tcPr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32" w:right="51" w:hanging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José Luis Salazar</w:t>
            </w: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Martínez.</w:t>
            </w:r>
          </w:p>
        </w:tc>
        <w:tc>
          <w:tcPr>
            <w:tcW w:w="1706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02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DF0559" w:rsidRDefault="00DF0559">
            <w:pPr>
              <w:rPr>
                <w:rFonts w:ascii="Arial" w:eastAsia="Arial" w:hAnsi="Arial" w:cs="Arial"/>
                <w:sz w:val="26"/>
                <w:szCs w:val="26"/>
              </w:rPr>
            </w:pPr>
          </w:p>
          <w:p w:rsidR="00DF0559" w:rsidRDefault="00DF0559">
            <w:pPr>
              <w:rPr>
                <w:rFonts w:ascii="Arial" w:eastAsia="Arial" w:hAnsi="Arial" w:cs="Arial"/>
                <w:sz w:val="26"/>
                <w:szCs w:val="26"/>
              </w:rPr>
            </w:pPr>
          </w:p>
        </w:tc>
      </w:tr>
      <w:tr w:rsidR="00DF0559">
        <w:trPr>
          <w:trHeight w:val="1210"/>
        </w:trPr>
        <w:tc>
          <w:tcPr>
            <w:tcW w:w="1189" w:type="dxa"/>
          </w:tcPr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01" w:type="dxa"/>
          </w:tcPr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706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Presente</w:t>
            </w:r>
          </w:p>
        </w:tc>
        <w:tc>
          <w:tcPr>
            <w:tcW w:w="102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103" w:type="dxa"/>
          </w:tcPr>
          <w:p w:rsidR="00DF0559" w:rsidRDefault="00DF0559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DF0559">
        <w:trPr>
          <w:trHeight w:val="1321"/>
        </w:trPr>
        <w:tc>
          <w:tcPr>
            <w:tcW w:w="1189" w:type="dxa"/>
          </w:tcPr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DF055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411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Vocal</w:t>
            </w:r>
          </w:p>
        </w:tc>
        <w:tc>
          <w:tcPr>
            <w:tcW w:w="1401" w:type="dxa"/>
          </w:tcPr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1"/>
              <w:ind w:lef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Luis 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Arturo 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Morones </w:t>
            </w:r>
          </w:p>
          <w:p w:rsidR="00DF0559" w:rsidRDefault="00AA29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/>
              <w:ind w:left="12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Vargas.</w:t>
            </w:r>
          </w:p>
        </w:tc>
        <w:tc>
          <w:tcPr>
            <w:tcW w:w="1706" w:type="dxa"/>
          </w:tcPr>
          <w:p w:rsidR="00DF0559" w:rsidRDefault="00DF055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DF0559" w:rsidRDefault="00AA29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Presente</w:t>
            </w:r>
          </w:p>
        </w:tc>
        <w:tc>
          <w:tcPr>
            <w:tcW w:w="1023" w:type="dxa"/>
          </w:tcPr>
          <w:p w:rsidR="00DF0559" w:rsidRDefault="00DF0559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DF0559" w:rsidRDefault="00DF0559">
            <w:pPr>
              <w:rPr>
                <w:sz w:val="28"/>
                <w:szCs w:val="28"/>
              </w:rPr>
            </w:pPr>
          </w:p>
          <w:p w:rsidR="00DF0559" w:rsidRDefault="00DF0559">
            <w:pPr>
              <w:rPr>
                <w:sz w:val="28"/>
                <w:szCs w:val="28"/>
              </w:rPr>
            </w:pPr>
          </w:p>
        </w:tc>
      </w:tr>
    </w:tbl>
    <w:p w:rsidR="00DF0559" w:rsidRDefault="00DF0559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Secretario Técnico: </w:t>
      </w:r>
      <w:r>
        <w:rPr>
          <w:rFonts w:ascii="Arial" w:eastAsia="Arial" w:hAnsi="Arial" w:cs="Arial"/>
          <w:sz w:val="28"/>
          <w:szCs w:val="28"/>
        </w:rPr>
        <w:t xml:space="preserve">Gracias, doy cuenta a todas y todos ustedes que se encuentran presentes 5 de los 5 integrantes </w:t>
      </w:r>
      <w:r>
        <w:rPr>
          <w:rFonts w:ascii="Arial" w:eastAsia="Arial" w:hAnsi="Arial" w:cs="Arial"/>
          <w:b/>
          <w:sz w:val="28"/>
          <w:szCs w:val="28"/>
        </w:rPr>
        <w:t>de esta Comisión Edilicia de Seguridad Pública y Protección Civil y Bomberos</w:t>
      </w:r>
      <w:r>
        <w:rPr>
          <w:rFonts w:ascii="Arial" w:eastAsia="Arial" w:hAnsi="Arial" w:cs="Arial"/>
          <w:sz w:val="28"/>
          <w:szCs w:val="28"/>
        </w:rPr>
        <w:t>.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---------------------------------------------------------------------------------------------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Presidenta: </w:t>
      </w:r>
      <w:r>
        <w:rPr>
          <w:rFonts w:ascii="Arial" w:eastAsia="Arial" w:hAnsi="Arial" w:cs="Arial"/>
          <w:sz w:val="28"/>
          <w:szCs w:val="28"/>
        </w:rPr>
        <w:t xml:space="preserve">Gracias, por lo que con fundamento en el artículo 90 del Reglamento del Gobierno y de la Administración Pública del Ayuntamiento Constitucional de San Pedro Tlaquepaque se declara que existe Quórum Legal para poder sesionar. 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Ahora bien, para continuar con</w:t>
      </w:r>
      <w:r>
        <w:rPr>
          <w:rFonts w:ascii="Arial" w:eastAsia="Arial" w:hAnsi="Arial" w:cs="Arial"/>
          <w:sz w:val="28"/>
          <w:szCs w:val="28"/>
        </w:rPr>
        <w:t xml:space="preserve"> el desahogo de la sesión, le pido al Secretario informe la propuesta del orden del día. 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Secretario Técnico: 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Como indica Presidenta, la propuesta es la siguiente:</w:t>
      </w:r>
    </w:p>
    <w:p w:rsidR="00DF0559" w:rsidRDefault="00AA29AD">
      <w:pPr>
        <w:widowControl w:val="0"/>
        <w:spacing w:before="269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l. Lista de asistencia y verificación de quórum legal para sesionar. </w:t>
      </w:r>
    </w:p>
    <w:p w:rsidR="00DF0559" w:rsidRDefault="00AA29AD">
      <w:pPr>
        <w:widowControl w:val="0"/>
        <w:spacing w:before="269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ll. Lectura y en su</w:t>
      </w:r>
      <w:r>
        <w:rPr>
          <w:rFonts w:ascii="Arial" w:eastAsia="Arial" w:hAnsi="Arial" w:cs="Arial"/>
          <w:sz w:val="28"/>
          <w:szCs w:val="28"/>
        </w:rPr>
        <w:t xml:space="preserve"> caso, aprobación del orden del día. </w:t>
      </w:r>
    </w:p>
    <w:p w:rsidR="00DF0559" w:rsidRDefault="00AA29AD">
      <w:pPr>
        <w:widowControl w:val="0"/>
        <w:spacing w:before="269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III. Aprobación del plan anual de trabajo 2023 de la Comisión Edilicia de Seguridad Pública y Protección Civil y Bomberos.    </w:t>
      </w:r>
    </w:p>
    <w:p w:rsidR="00DF0559" w:rsidRDefault="00AA29AD">
      <w:pPr>
        <w:widowControl w:val="0"/>
        <w:spacing w:before="269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IV. Asuntos Generales.</w:t>
      </w:r>
    </w:p>
    <w:p w:rsidR="00DF0559" w:rsidRDefault="00AA29AD">
      <w:pPr>
        <w:widowControl w:val="0"/>
        <w:spacing w:before="269" w:after="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V. Clausura de la sesión.</w:t>
      </w:r>
    </w:p>
    <w:p w:rsidR="00DF0559" w:rsidRDefault="00DF0559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Presidenta</w:t>
      </w:r>
      <w:r>
        <w:rPr>
          <w:rFonts w:ascii="Arial" w:eastAsia="Arial" w:hAnsi="Arial" w:cs="Arial"/>
          <w:sz w:val="28"/>
          <w:szCs w:val="28"/>
        </w:rPr>
        <w:t>: Gracias, leído el orden del d</w:t>
      </w:r>
      <w:r>
        <w:rPr>
          <w:rFonts w:ascii="Arial" w:eastAsia="Arial" w:hAnsi="Arial" w:cs="Arial"/>
          <w:sz w:val="28"/>
          <w:szCs w:val="28"/>
        </w:rPr>
        <w:t>ía, les pregunto si están de acuerdo con su aprobación lo manifiesten levantando su mano. ---------</w:t>
      </w:r>
    </w:p>
    <w:p w:rsidR="00DF0559" w:rsidRDefault="00AA29AD">
      <w:pPr>
        <w:spacing w:line="276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----------------------Es aprobado por unanimidad. 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Presidenta: </w:t>
      </w:r>
      <w:r>
        <w:rPr>
          <w:rFonts w:ascii="Arial" w:eastAsia="Arial" w:hAnsi="Arial" w:cs="Arial"/>
          <w:sz w:val="28"/>
          <w:szCs w:val="28"/>
        </w:rPr>
        <w:t>Muchas gracias, es aprobado por unanimidad. En virtud de lo anterior y</w:t>
      </w:r>
      <w:r>
        <w:rPr>
          <w:rFonts w:ascii="Arial" w:eastAsia="Arial" w:hAnsi="Arial" w:cs="Arial"/>
          <w:sz w:val="28"/>
          <w:szCs w:val="28"/>
        </w:rPr>
        <w:t xml:space="preserve"> toda vez que se han desahogado los dos primeros puntos, para dar cumplimiento al tercer punto, le pido al Secretario Técnico de esta Comisión siga con la exposición. —----------------------------------------------------------------------------------------</w:t>
      </w:r>
      <w:r>
        <w:rPr>
          <w:rFonts w:ascii="Arial" w:eastAsia="Arial" w:hAnsi="Arial" w:cs="Arial"/>
          <w:sz w:val="28"/>
          <w:szCs w:val="28"/>
        </w:rPr>
        <w:t>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Secretario Técnico:</w:t>
      </w:r>
      <w:r>
        <w:rPr>
          <w:rFonts w:ascii="Arial" w:eastAsia="Arial" w:hAnsi="Arial" w:cs="Arial"/>
          <w:sz w:val="28"/>
          <w:szCs w:val="28"/>
        </w:rPr>
        <w:t xml:space="preserve"> Gracias Presidenta, el tercer punto del orden del día tiene como </w:t>
      </w:r>
      <w:proofErr w:type="spellStart"/>
      <w:r>
        <w:rPr>
          <w:rFonts w:ascii="Arial" w:eastAsia="Arial" w:hAnsi="Arial" w:cs="Arial"/>
          <w:sz w:val="28"/>
          <w:szCs w:val="28"/>
        </w:rPr>
        <w:t>proposito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la Aprobación del plan anual de trabajo 2023.       -------------------------------------------------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Presidenta: </w:t>
      </w:r>
      <w:r>
        <w:rPr>
          <w:rFonts w:ascii="Arial" w:eastAsia="Arial" w:hAnsi="Arial" w:cs="Arial"/>
          <w:sz w:val="28"/>
          <w:szCs w:val="28"/>
        </w:rPr>
        <w:t>El gobierno de San Pedro Tlaquepaque reconoce dentro de su agenda a la Seguridad Pública como uno de sus temas prioritarios, la actual administración ha puesto al centro de las decisiones la reconstrucción del tejido social, la prevención, el fortalecimien</w:t>
      </w:r>
      <w:r>
        <w:rPr>
          <w:rFonts w:ascii="Arial" w:eastAsia="Arial" w:hAnsi="Arial" w:cs="Arial"/>
          <w:sz w:val="28"/>
          <w:szCs w:val="28"/>
        </w:rPr>
        <w:t>to de los cuerpos de seguridad, la profesionalización , el equipamiento, la remodelación de las instalaciones del Instituto de Formación policial, la modernización a través de la construcción de lo que será el C4 y la Coordinación con las autoridades de lo</w:t>
      </w:r>
      <w:r>
        <w:rPr>
          <w:rFonts w:ascii="Arial" w:eastAsia="Arial" w:hAnsi="Arial" w:cs="Arial"/>
          <w:sz w:val="28"/>
          <w:szCs w:val="28"/>
        </w:rPr>
        <w:t xml:space="preserve">s 3 </w:t>
      </w:r>
      <w:proofErr w:type="spellStart"/>
      <w:r>
        <w:rPr>
          <w:rFonts w:ascii="Arial" w:eastAsia="Arial" w:hAnsi="Arial" w:cs="Arial"/>
          <w:sz w:val="28"/>
          <w:szCs w:val="28"/>
        </w:rPr>
        <w:t>ordenes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de gobierno, es por ello que desde la Comisión Edilicia de Seguridad Pública y Protección Civil y Bomberos seguiremos coadyuvando para garantizar las condiciones de seguridad que las y los </w:t>
      </w:r>
      <w:proofErr w:type="spellStart"/>
      <w:r>
        <w:rPr>
          <w:rFonts w:ascii="Arial" w:eastAsia="Arial" w:hAnsi="Arial" w:cs="Arial"/>
          <w:sz w:val="28"/>
          <w:szCs w:val="28"/>
        </w:rPr>
        <w:t>Tlaquepaquenses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se merecen.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No se alguien quiera hacer </w:t>
      </w:r>
      <w:r>
        <w:rPr>
          <w:rFonts w:ascii="Arial" w:eastAsia="Arial" w:hAnsi="Arial" w:cs="Arial"/>
          <w:sz w:val="28"/>
          <w:szCs w:val="28"/>
        </w:rPr>
        <w:t>alguna connotación…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Por lo anterior, para proceder al desahogo del tercer punto del orden del día, les solicitaría a los miembros de esta Comisión que se apruebe el plan anual de trabajo 2023 que de manera previa se les hizo llegar de manera electrónica.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 xml:space="preserve">or lo que les pregunto, quienes estén por la afirmativa favor de manifestarlo </w:t>
      </w:r>
    </w:p>
    <w:p w:rsidR="00DF0559" w:rsidRDefault="00DF0559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----------------------------------------Aprobado----------------------------------------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                 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Presidenta mu</w:t>
      </w:r>
      <w:r>
        <w:rPr>
          <w:rFonts w:ascii="Arial" w:eastAsia="Arial" w:hAnsi="Arial" w:cs="Arial"/>
          <w:b/>
          <w:sz w:val="28"/>
          <w:szCs w:val="28"/>
        </w:rPr>
        <w:t>nicipal</w:t>
      </w:r>
      <w:proofErr w:type="gramStart"/>
      <w:r>
        <w:rPr>
          <w:rFonts w:ascii="Arial" w:eastAsia="Arial" w:hAnsi="Arial" w:cs="Arial"/>
          <w:b/>
          <w:sz w:val="28"/>
          <w:szCs w:val="28"/>
        </w:rPr>
        <w:t xml:space="preserve">:  </w:t>
      </w:r>
      <w:r>
        <w:rPr>
          <w:rFonts w:ascii="Arial" w:eastAsia="Arial" w:hAnsi="Arial" w:cs="Arial"/>
          <w:sz w:val="28"/>
          <w:szCs w:val="28"/>
        </w:rPr>
        <w:t>Muchas</w:t>
      </w:r>
      <w:proofErr w:type="gramEnd"/>
      <w:r>
        <w:rPr>
          <w:rFonts w:ascii="Arial" w:eastAsia="Arial" w:hAnsi="Arial" w:cs="Arial"/>
          <w:sz w:val="28"/>
          <w:szCs w:val="28"/>
        </w:rPr>
        <w:t xml:space="preserve"> gracias, es aprobado por unanimidad para pasar al cuarto punto del orden del día, le cedo el uso de la voz de nueva cuenta al Secretario Técnico. </w:t>
      </w:r>
    </w:p>
    <w:p w:rsidR="00DF0559" w:rsidRDefault="00DF0559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Secretario Técnico:</w:t>
      </w:r>
      <w:r>
        <w:rPr>
          <w:rFonts w:ascii="Arial" w:eastAsia="Arial" w:hAnsi="Arial" w:cs="Arial"/>
          <w:sz w:val="28"/>
          <w:szCs w:val="28"/>
        </w:rPr>
        <w:t xml:space="preserve"> Gracias Presidenta, le informo que el cuarto punto del orden del día se</w:t>
      </w:r>
      <w:r>
        <w:rPr>
          <w:rFonts w:ascii="Arial" w:eastAsia="Arial" w:hAnsi="Arial" w:cs="Arial"/>
          <w:sz w:val="28"/>
          <w:szCs w:val="28"/>
        </w:rPr>
        <w:t xml:space="preserve"> refiere a los asuntos generales.-------------------------------------------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Presidenta: </w:t>
      </w:r>
      <w:r>
        <w:rPr>
          <w:rFonts w:ascii="Arial" w:eastAsia="Arial" w:hAnsi="Arial" w:cs="Arial"/>
          <w:sz w:val="28"/>
          <w:szCs w:val="28"/>
        </w:rPr>
        <w:t>Les pregunto a los presentes si tienen algún asunto que tratar motivo de esta Comisión.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lastRenderedPageBreak/>
        <w:t>Gracias, una vez agotada el Orden del Día y en cumplimiento del quinto punto,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 xml:space="preserve">e declara clausurada la presente sesión ordinaria de la Comisión Edilicia de Seguridad Pública y Protección Civil y Bomberos siendo las 14 horas con 15 minutos del día 30 de enero del año 2023 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¡Muchas gracias a todas y todos!</w:t>
      </w:r>
    </w:p>
    <w:p w:rsidR="00DF0559" w:rsidRDefault="00AA29AD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sz w:val="28"/>
          <w:szCs w:val="28"/>
        </w:rPr>
        <w:t>-------------------------</w:t>
      </w:r>
      <w:r>
        <w:rPr>
          <w:rFonts w:ascii="Arial" w:eastAsia="Arial" w:hAnsi="Arial" w:cs="Arial"/>
          <w:b/>
          <w:sz w:val="28"/>
          <w:szCs w:val="28"/>
        </w:rPr>
        <w:t>---------------------------------------------------------------------</w:t>
      </w:r>
    </w:p>
    <w:p w:rsidR="00DF0559" w:rsidRDefault="00DF0559">
      <w:pPr>
        <w:spacing w:line="276" w:lineRule="auto"/>
        <w:ind w:left="-567"/>
        <w:jc w:val="both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widowControl w:val="0"/>
        <w:spacing w:before="269"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“Prima Opera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Fliglinae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Homo”</w:t>
      </w:r>
    </w:p>
    <w:p w:rsidR="00DF0559" w:rsidRDefault="00DF0559">
      <w:pPr>
        <w:widowControl w:val="0"/>
        <w:spacing w:before="269"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widowControl w:val="0"/>
        <w:spacing w:before="269"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widowControl w:val="0"/>
        <w:spacing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Lcda. Mirna Citlalli Amaya de Luna</w:t>
      </w:r>
    </w:p>
    <w:p w:rsidR="00DF0559" w:rsidRDefault="00AA29AD">
      <w:pPr>
        <w:widowControl w:val="0"/>
        <w:spacing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Presidenta de la Comisión</w:t>
      </w:r>
    </w:p>
    <w:p w:rsidR="00DF0559" w:rsidRDefault="00DF0559">
      <w:pPr>
        <w:widowControl w:val="0"/>
        <w:spacing w:before="269"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widowControl w:val="0"/>
        <w:spacing w:before="269"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widowControl w:val="0"/>
        <w:spacing w:before="269"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widowControl w:val="0"/>
        <w:spacing w:before="269" w:after="0" w:line="240" w:lineRule="auto"/>
        <w:ind w:left="164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Braulio Ernesto García           Mtro. José Luis Salazar Martínez </w:t>
      </w:r>
    </w:p>
    <w:p w:rsidR="00DF0559" w:rsidRDefault="00AA29A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Pérez</w:t>
      </w:r>
    </w:p>
    <w:p w:rsidR="00DF0559" w:rsidRDefault="00AA29A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Vocal de la Comisión                     Vocal de la Comisión</w:t>
      </w:r>
    </w:p>
    <w:p w:rsidR="00DF0559" w:rsidRDefault="00DF05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:rsidR="00DF0559" w:rsidRDefault="00DF055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1" w:name="_heading=h.gjdgxs" w:colFirst="0" w:colLast="0"/>
      <w:bookmarkEnd w:id="1"/>
    </w:p>
    <w:p w:rsidR="00DF0559" w:rsidRDefault="00DF055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bookmarkStart w:id="2" w:name="_heading=h.6cibxw3ex12v" w:colFirst="0" w:colLast="0"/>
      <w:bookmarkEnd w:id="2"/>
    </w:p>
    <w:p w:rsidR="00DF0559" w:rsidRDefault="00DF055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F0559" w:rsidRDefault="00AA29A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María del Rosario Velázquez       Luis Arturo Morones Vargas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z w:val="28"/>
          <w:szCs w:val="28"/>
        </w:rPr>
        <w:t xml:space="preserve">.  </w:t>
      </w:r>
      <w:r>
        <w:rPr>
          <w:rFonts w:ascii="Arial" w:eastAsia="Arial" w:hAnsi="Arial" w:cs="Arial"/>
          <w:b/>
          <w:sz w:val="28"/>
          <w:szCs w:val="28"/>
        </w:rPr>
        <w:t xml:space="preserve">           Hernández  </w:t>
      </w:r>
    </w:p>
    <w:p w:rsidR="00DF0559" w:rsidRDefault="00AA29AD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     Vocal de la Comisión                   Vocal de la Comisión</w:t>
      </w:r>
      <w:r>
        <w:rPr>
          <w:rFonts w:ascii="Arial Narrow" w:eastAsia="Arial Narrow" w:hAnsi="Arial Narrow" w:cs="Arial Narrow"/>
          <w:b/>
          <w:sz w:val="36"/>
          <w:szCs w:val="36"/>
        </w:rPr>
        <w:t xml:space="preserve"> </w:t>
      </w:r>
    </w:p>
    <w:sectPr w:rsidR="00DF0559">
      <w:pgSz w:w="12240" w:h="18720"/>
      <w:pgMar w:top="2125" w:right="1700" w:bottom="1417" w:left="22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59"/>
    <w:rsid w:val="00AA29AD"/>
    <w:rsid w:val="00D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591CE-E4DB-4E90-843D-643BBBDF5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9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1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6D99"/>
  </w:style>
  <w:style w:type="paragraph" w:styleId="Piedepgina">
    <w:name w:val="footer"/>
    <w:basedOn w:val="Normal"/>
    <w:link w:val="PiedepginaCar"/>
    <w:uiPriority w:val="99"/>
    <w:unhideWhenUsed/>
    <w:rsid w:val="00916D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6D99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8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aconcuadrcula">
    <w:name w:val="Table Grid"/>
    <w:basedOn w:val="Tablanormal"/>
    <w:uiPriority w:val="39"/>
    <w:rsid w:val="00BD231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0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FE5"/>
    <w:rPr>
      <w:rFonts w:ascii="Segoe UI" w:hAnsi="Segoe UI" w:cs="Segoe UI"/>
      <w:sz w:val="18"/>
      <w:szCs w:val="18"/>
    </w:rPr>
  </w:style>
  <w:style w:type="table" w:customStyle="1" w:styleId="a0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8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0BYQa6smlGeWJ6Qrq3rcEg6psA==">AMUW2mUUr1pxha7jiDTjWhEdk9UvCznGKwLaWlmFyZXWFOrYTm0b5xw157GjMD1jpjoRawXF/+xvSiQqrQXNbW7KOo3ZqRIR5LVMEgDX0Z85hauo1TDl54yB2KJNVkCG6R5NddBSiktMhJgeiZ6ROzXaM1FCO2UhIA==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Refugio Gomez Magayon</dc:creator>
  <cp:lastModifiedBy>Paola Alejandrina Razón Viram</cp:lastModifiedBy>
  <cp:revision>2</cp:revision>
  <dcterms:created xsi:type="dcterms:W3CDTF">2022-05-11T18:53:00Z</dcterms:created>
  <dcterms:modified xsi:type="dcterms:W3CDTF">2023-02-01T20:50:00Z</dcterms:modified>
</cp:coreProperties>
</file>