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D5" w:rsidRDefault="004C77D5">
      <w:pPr>
        <w:spacing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tbl>
      <w:tblPr>
        <w:tblStyle w:val="ad"/>
        <w:tblW w:w="87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525"/>
      </w:tblGrid>
      <w:tr w:rsidR="004C77D5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7D5" w:rsidRDefault="000D57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noProof/>
                <w:sz w:val="26"/>
                <w:szCs w:val="26"/>
              </w:rPr>
              <w:drawing>
                <wp:inline distT="0" distB="0" distL="0" distR="0">
                  <wp:extent cx="771525" cy="981075"/>
                  <wp:effectExtent l="0" t="0" r="0" b="0"/>
                  <wp:docPr id="1" name="image1.png" descr="Imagen que contiene dibuj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n que contiene dibujo&#10;&#10;Descripción generada automáticament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7D5" w:rsidRDefault="000D5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D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ÉCIMA SÉPTIMA SESIÓN ORDINARIA DE LA COMISIÓN </w:t>
            </w:r>
            <w:r>
              <w:rPr>
                <w:rFonts w:ascii="Arial" w:eastAsia="Arial" w:hAnsi="Arial" w:cs="Arial"/>
                <w:b/>
                <w:sz w:val="26"/>
                <w:szCs w:val="26"/>
                <w:highlight w:val="white"/>
              </w:rPr>
              <w:t xml:space="preserve"> EDILICIA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E REGLAMENTOS MUNICIPALES Y PUNTOS LEGISLATIVOS COMO CONVOCANTE Y LA COMISIÓN EDILICIA DE SEGURIDAD PÚBLICA Y PROTECCIÓN CIVIL Y BOMBEROS COMO COADYUVANTE CELEBRADA EL MIÉRCOLES 11 DE ENERO DEL AÑO 2023 EN LA SALA EX PRESIDENTES DEL AYUNTAMIENTO CONSTITUCI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ONAL DE SAN PEDRO TLAQUEPAQUE PARA EL ESTUDIO, ANÁLISIS Y DICTAMINACIÓN DEL ACUERDO 0143/2022/TC QUE SE TIENE POR OBJETO LA CREACIÓN DEL REGLAMENTO DEL INSTITUTO DE FORMACIÓN Y PROFESIONALIZACIÓN POLICIAL DE SAN PEDRO TLAQUEPAQUE, JALISCO</w:t>
            </w:r>
          </w:p>
        </w:tc>
      </w:tr>
    </w:tbl>
    <w:p w:rsidR="004C77D5" w:rsidRDefault="004C77D5">
      <w:pPr>
        <w:spacing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:rsidR="004C77D5" w:rsidRDefault="004C77D5">
      <w:pPr>
        <w:spacing w:line="240" w:lineRule="auto"/>
        <w:rPr>
          <w:rFonts w:ascii="Arial" w:eastAsia="Arial" w:hAnsi="Arial" w:cs="Arial"/>
          <w:sz w:val="26"/>
          <w:szCs w:val="26"/>
        </w:rPr>
      </w:pPr>
    </w:p>
    <w:p w:rsidR="004C77D5" w:rsidRDefault="004C77D5">
      <w:pPr>
        <w:spacing w:before="240" w:after="0" w:line="240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4C77D5" w:rsidRDefault="000D5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Regidora Presidenta Jael Chamú Ponce: </w:t>
      </w:r>
      <w:r>
        <w:rPr>
          <w:rFonts w:ascii="Arial" w:eastAsia="Arial" w:hAnsi="Arial" w:cs="Arial"/>
          <w:color w:val="000000"/>
          <w:sz w:val="26"/>
          <w:szCs w:val="26"/>
        </w:rPr>
        <w:t>Buenas</w:t>
      </w:r>
      <w:r>
        <w:rPr>
          <w:rFonts w:ascii="Arial" w:eastAsia="Arial" w:hAnsi="Arial" w:cs="Arial"/>
          <w:sz w:val="26"/>
          <w:szCs w:val="26"/>
        </w:rPr>
        <w:t xml:space="preserve"> tardes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compañeras y compañeros Regidores, personal de Transparencia, asesores y demás funcionarios públicos municipales que nos acompañan, Feliz año y que este 2023 continuen con los logros, mucha salud y lo mej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or en nuestro servicio para garantizar una mejor vida para los tlaquepaquenses. </w:t>
      </w:r>
    </w:p>
    <w:p w:rsidR="004C77D5" w:rsidRDefault="004C7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4C77D5" w:rsidRDefault="000D5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Siendo las 13:36 horas</w:t>
      </w:r>
      <w:r>
        <w:rPr>
          <w:rFonts w:ascii="Arial" w:eastAsia="Arial" w:hAnsi="Arial" w:cs="Arial"/>
          <w:sz w:val="26"/>
          <w:szCs w:val="26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del día miércoles 11 de enero del año 2023, encontrándonos reunidos en la Sala Expresidentes del Ayuntamiento de San Pedro Tlaquepaque de conformidad c</w:t>
      </w:r>
      <w:r>
        <w:rPr>
          <w:rFonts w:ascii="Arial" w:eastAsia="Arial" w:hAnsi="Arial" w:cs="Arial"/>
          <w:color w:val="000000"/>
          <w:sz w:val="26"/>
          <w:szCs w:val="26"/>
        </w:rPr>
        <w:t>on los numerales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76, 77, 78, 79, 87, 92 fracciones III y V, 95, 97 </w:t>
      </w:r>
      <w:r>
        <w:rPr>
          <w:rFonts w:ascii="Arial" w:eastAsia="Arial" w:hAnsi="Arial" w:cs="Arial"/>
          <w:color w:val="000000"/>
          <w:sz w:val="26"/>
          <w:szCs w:val="26"/>
        </w:rPr>
        <w:t>y demás relativos y aplicables del Reglamento del Gobierno y de la Administración Pública del Ayuntamiento Constitucional de San Pedro Tlaquepaque por el que se rige este Ayuntamiento, damos inicio a esta Décima Séptima Sesión de la Comisió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n Edilicia </w:t>
      </w:r>
      <w:r>
        <w:rPr>
          <w:rFonts w:ascii="Arial" w:eastAsia="Arial" w:hAnsi="Arial" w:cs="Arial"/>
          <w:color w:val="000000"/>
          <w:sz w:val="26"/>
          <w:szCs w:val="26"/>
        </w:rPr>
        <w:t>de Re</w:t>
      </w:r>
      <w:r>
        <w:rPr>
          <w:rFonts w:ascii="Arial" w:eastAsia="Arial" w:hAnsi="Arial" w:cs="Arial"/>
          <w:color w:val="000000"/>
          <w:sz w:val="26"/>
          <w:szCs w:val="26"/>
        </w:rPr>
        <w:t>glamentos Municipales y Puntos Legislativos como convocante y la Comisión Edilicia de Seguridad Pública y Protección Civil y Bomberos como coadyuvante.</w:t>
      </w:r>
    </w:p>
    <w:p w:rsidR="004C77D5" w:rsidRDefault="004C7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4C77D5" w:rsidRDefault="000D5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En estos momentos procedo a la Toma de Asistencia de los integrantes de la Comisión </w:t>
      </w:r>
      <w:r>
        <w:rPr>
          <w:rFonts w:ascii="Arial" w:eastAsia="Arial" w:hAnsi="Arial" w:cs="Arial"/>
          <w:sz w:val="26"/>
          <w:szCs w:val="26"/>
        </w:rPr>
        <w:t xml:space="preserve">Edilicia </w:t>
      </w:r>
      <w:r>
        <w:rPr>
          <w:rFonts w:ascii="Arial" w:eastAsia="Arial" w:hAnsi="Arial" w:cs="Arial"/>
          <w:color w:val="000000"/>
          <w:sz w:val="26"/>
          <w:szCs w:val="26"/>
        </w:rPr>
        <w:t>de Reglame</w:t>
      </w:r>
      <w:r>
        <w:rPr>
          <w:rFonts w:ascii="Arial" w:eastAsia="Arial" w:hAnsi="Arial" w:cs="Arial"/>
          <w:color w:val="000000"/>
          <w:sz w:val="26"/>
          <w:szCs w:val="26"/>
        </w:rPr>
        <w:t>ntos Municipales y Puntos Legislativos para efectos de verificar si existe quórum legal para sesionar.</w:t>
      </w:r>
    </w:p>
    <w:p w:rsidR="004C77D5" w:rsidRDefault="000D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Síndico Municipal y Vocal de la Comisión José Luis Salazar Martínez, presente</w:t>
      </w:r>
    </w:p>
    <w:p w:rsidR="004C77D5" w:rsidRDefault="000D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Vocal Alma Dolores Hurtado Castillo, presente</w:t>
      </w:r>
    </w:p>
    <w:p w:rsidR="004C77D5" w:rsidRDefault="000D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Vocal Juan Martín Núñez Morán</w:t>
      </w:r>
      <w:r>
        <w:rPr>
          <w:rFonts w:ascii="Arial" w:eastAsia="Arial" w:hAnsi="Arial" w:cs="Arial"/>
          <w:sz w:val="24"/>
          <w:szCs w:val="24"/>
        </w:rPr>
        <w:t>, presente</w:t>
      </w:r>
    </w:p>
    <w:p w:rsidR="004C77D5" w:rsidRDefault="000D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Vocal Roberto Gerardo Albarrán Magaña, ausente</w:t>
      </w:r>
    </w:p>
    <w:p w:rsidR="004C77D5" w:rsidRDefault="000D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Vocal María del Rosario Velázquez Hernández, presente  </w:t>
      </w:r>
    </w:p>
    <w:p w:rsidR="004C77D5" w:rsidRDefault="000D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Vocal Luis Arturo Morones Vargas, presente</w:t>
      </w:r>
    </w:p>
    <w:p w:rsidR="004C77D5" w:rsidRDefault="000D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Vocal Ana Rosa Loza Agraz, ausente</w:t>
      </w:r>
    </w:p>
    <w:p w:rsidR="004C77D5" w:rsidRDefault="000D57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 servidora, Jael Chamú Ponce, regidora Presidenta de la comisi</w:t>
      </w:r>
      <w:r>
        <w:rPr>
          <w:rFonts w:ascii="Arial" w:eastAsia="Arial" w:hAnsi="Arial" w:cs="Arial"/>
          <w:sz w:val="24"/>
          <w:szCs w:val="24"/>
        </w:rPr>
        <w:t>ón</w:t>
      </w:r>
    </w:p>
    <w:p w:rsidR="004C77D5" w:rsidRDefault="004C7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4C77D5" w:rsidRDefault="000D5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</w:rPr>
        <w:t xml:space="preserve">Por lo que nos encontramos </w:t>
      </w:r>
      <w:r>
        <w:rPr>
          <w:rFonts w:ascii="Arial" w:eastAsia="Arial" w:hAnsi="Arial" w:cs="Arial"/>
          <w:sz w:val="26"/>
          <w:szCs w:val="26"/>
          <w:highlight w:val="white"/>
        </w:rPr>
        <w:t>presentes 8 de los 8 integrantes de la Comisión de Reglamentos Municipales y Puntos Legislativos. </w:t>
      </w:r>
    </w:p>
    <w:p w:rsidR="004C77D5" w:rsidRDefault="004C77D5">
      <w:pPr>
        <w:jc w:val="both"/>
        <w:rPr>
          <w:rFonts w:ascii="Arial" w:eastAsia="Arial" w:hAnsi="Arial" w:cs="Arial"/>
          <w:sz w:val="26"/>
          <w:szCs w:val="26"/>
        </w:rPr>
      </w:pPr>
    </w:p>
    <w:p w:rsidR="004C77D5" w:rsidRDefault="004C77D5">
      <w:pPr>
        <w:jc w:val="both"/>
        <w:rPr>
          <w:rFonts w:ascii="Arial" w:eastAsia="Arial" w:hAnsi="Arial" w:cs="Arial"/>
          <w:sz w:val="26"/>
          <w:szCs w:val="26"/>
        </w:rPr>
      </w:pPr>
    </w:p>
    <w:p w:rsidR="004C77D5" w:rsidRDefault="000D57E4">
      <w:pPr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Con fundamento en e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l artículo 90 del Reglamento </w:t>
      </w:r>
      <w:r>
        <w:rPr>
          <w:rFonts w:ascii="Arial" w:eastAsia="Arial" w:hAnsi="Arial" w:cs="Arial"/>
          <w:color w:val="000000"/>
          <w:sz w:val="26"/>
          <w:szCs w:val="26"/>
        </w:rPr>
        <w:t>del Gobierno y de la Administración Pública del Ayuntamiento Constitucional de San Pedro Tlaquepaque se declara Quórum Legal para sesionar.</w:t>
      </w:r>
    </w:p>
    <w:p w:rsidR="004C77D5" w:rsidRDefault="000D5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</w:rPr>
        <w:t>Ah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ora procedo a tomar lista de asistencia a quienes integran la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Comisión Edilicia de Seguridad Pública y Protección Civil y Bomberos.</w:t>
      </w:r>
    </w:p>
    <w:p w:rsidR="004C77D5" w:rsidRDefault="004C7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:rsidR="004C77D5" w:rsidRDefault="000D57E4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>Menciono que recibí oficio de la Dirección General  de Consejería Jurídica donde por instrucciones de la Licenciada Mirna Citlalli Amaya de Luna, Presidenta Municipal de San Pedro Tlaqu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epaque, se informa su inasistencia por razones de agenda, de acuerdo al último párrafo del artículo 35 Bis del Reglamento del Gobierno y de la Administración Pública del Ayuntamiento Constitucional de San Pedro Tlaquepaque. </w:t>
      </w:r>
    </w:p>
    <w:p w:rsidR="004C77D5" w:rsidRDefault="004C77D5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:rsidR="004C77D5" w:rsidRDefault="000D57E4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>Por lo que procederemos a just</w:t>
      </w:r>
      <w:r>
        <w:rPr>
          <w:rFonts w:ascii="Arial" w:eastAsia="Arial" w:hAnsi="Arial" w:cs="Arial"/>
          <w:sz w:val="26"/>
          <w:szCs w:val="26"/>
          <w:highlight w:val="white"/>
        </w:rPr>
        <w:t>ificar su inasistencia.</w:t>
      </w:r>
    </w:p>
    <w:p w:rsidR="004C77D5" w:rsidRDefault="000D57E4">
      <w:pPr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>Les pido que si están por la afirmativa favor de manifestarlo levantando nuestra mano.</w:t>
      </w:r>
    </w:p>
    <w:p w:rsidR="004C77D5" w:rsidRDefault="000D57E4">
      <w:pPr>
        <w:spacing w:after="0" w:line="240" w:lineRule="auto"/>
        <w:rPr>
          <w:rFonts w:ascii="Arial" w:eastAsia="Arial" w:hAnsi="Arial" w:cs="Arial"/>
          <w:b/>
          <w:sz w:val="26"/>
          <w:szCs w:val="26"/>
          <w:highlight w:val="white"/>
        </w:rPr>
      </w:pPr>
      <w:r>
        <w:rPr>
          <w:rFonts w:ascii="Arial" w:eastAsia="Arial" w:hAnsi="Arial" w:cs="Arial"/>
          <w:b/>
          <w:sz w:val="26"/>
          <w:szCs w:val="26"/>
          <w:highlight w:val="white"/>
        </w:rPr>
        <w:t>ES APROBADO POR UNANIMIDAD----------------------------------------------------</w:t>
      </w:r>
    </w:p>
    <w:p w:rsidR="004C77D5" w:rsidRDefault="000D57E4">
      <w:pPr>
        <w:spacing w:after="0" w:line="240" w:lineRule="auto"/>
        <w:rPr>
          <w:rFonts w:ascii="Arial" w:eastAsia="Arial" w:hAnsi="Arial" w:cs="Arial"/>
          <w:b/>
          <w:sz w:val="26"/>
          <w:szCs w:val="26"/>
          <w:highlight w:val="white"/>
        </w:rPr>
      </w:pPr>
      <w:r>
        <w:rPr>
          <w:rFonts w:ascii="Arial" w:eastAsia="Arial" w:hAnsi="Arial" w:cs="Arial"/>
          <w:b/>
          <w:sz w:val="26"/>
          <w:szCs w:val="26"/>
          <w:highlight w:val="white"/>
        </w:rPr>
        <w:t>------------------------------------------------------------------</w:t>
      </w:r>
      <w:r>
        <w:rPr>
          <w:rFonts w:ascii="Arial" w:eastAsia="Arial" w:hAnsi="Arial" w:cs="Arial"/>
          <w:b/>
          <w:sz w:val="26"/>
          <w:szCs w:val="26"/>
          <w:highlight w:val="white"/>
        </w:rPr>
        <w:t>----------------------------------</w:t>
      </w:r>
    </w:p>
    <w:p w:rsidR="004C77D5" w:rsidRDefault="004C77D5">
      <w:pPr>
        <w:spacing w:after="0" w:line="240" w:lineRule="auto"/>
        <w:rPr>
          <w:rFonts w:ascii="Arial" w:eastAsia="Arial" w:hAnsi="Arial" w:cs="Arial"/>
          <w:b/>
          <w:sz w:val="26"/>
          <w:szCs w:val="26"/>
          <w:highlight w:val="white"/>
        </w:rPr>
      </w:pPr>
    </w:p>
    <w:p w:rsidR="004C77D5" w:rsidRDefault="000D57E4">
      <w:pPr>
        <w:spacing w:before="8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Presidenta Municipal de San Pedro Tlaquepaque y Presidenta de la Comisión Edilicia de Seguridad Pública y Protección Civil y Bomberos, Lcda. Mirna Citlalli Amaya de Luna</w:t>
      </w:r>
      <w:r>
        <w:rPr>
          <w:rFonts w:ascii="Arial" w:eastAsia="Arial" w:hAnsi="Arial" w:cs="Arial"/>
          <w:sz w:val="24"/>
          <w:szCs w:val="24"/>
        </w:rPr>
        <w:t>, justificado</w:t>
      </w:r>
    </w:p>
    <w:p w:rsidR="004C77D5" w:rsidRDefault="000D57E4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Vocal de la Comisión, Braulio Ernesto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García Pérez, presente</w:t>
      </w:r>
    </w:p>
    <w:p w:rsidR="004C77D5" w:rsidRDefault="000D57E4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Síndico Municipal y Vocal de la Comisión, José Luis Salazar Martínez, presente</w:t>
      </w:r>
    </w:p>
    <w:p w:rsidR="004C77D5" w:rsidRDefault="000D57E4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Vocal de la Comisión, María del Rosario Velázquez Hernández, presente</w:t>
      </w:r>
    </w:p>
    <w:p w:rsidR="004C77D5" w:rsidRDefault="000D57E4">
      <w:pPr>
        <w:spacing w:after="0" w:line="240" w:lineRule="auto"/>
        <w:rPr>
          <w:rFonts w:ascii="Arial" w:eastAsia="Arial" w:hAnsi="Arial" w:cs="Arial"/>
          <w:b/>
          <w:sz w:val="26"/>
          <w:szCs w:val="26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Vocal de la Comisión, Luis Arturo Morones Vargas, presente</w:t>
      </w:r>
    </w:p>
    <w:p w:rsidR="004C77D5" w:rsidRDefault="004C7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:rsidR="004C77D5" w:rsidRDefault="004C7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:rsidR="004C77D5" w:rsidRDefault="000D5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highlight w:val="white"/>
        </w:rPr>
        <w:t xml:space="preserve">Por lo que se encuentran presentes 4 de los </w:t>
      </w:r>
      <w:r>
        <w:rPr>
          <w:rFonts w:ascii="Arial" w:eastAsia="Arial" w:hAnsi="Arial" w:cs="Arial"/>
          <w:sz w:val="26"/>
          <w:szCs w:val="26"/>
          <w:highlight w:val="white"/>
          <w:u w:val="single"/>
        </w:rPr>
        <w:t>5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 integrantes de la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Comisión Edilicia de Seguridad Pública y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Protección Civil y Bomberos.</w:t>
      </w:r>
    </w:p>
    <w:p w:rsidR="004C77D5" w:rsidRDefault="004C7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4C77D5" w:rsidRDefault="000D57E4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Con fundamento en e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l artículo 90 del Reglamento </w:t>
      </w:r>
      <w:r>
        <w:rPr>
          <w:rFonts w:ascii="Arial" w:eastAsia="Arial" w:hAnsi="Arial" w:cs="Arial"/>
          <w:color w:val="000000"/>
          <w:sz w:val="26"/>
          <w:szCs w:val="26"/>
        </w:rPr>
        <w:t>del Gobierno y de la Administración Pública del Ayuntamiento Constitucion</w:t>
      </w:r>
      <w:r>
        <w:rPr>
          <w:rFonts w:ascii="Arial" w:eastAsia="Arial" w:hAnsi="Arial" w:cs="Arial"/>
          <w:color w:val="000000"/>
          <w:sz w:val="26"/>
          <w:szCs w:val="26"/>
        </w:rPr>
        <w:t>al de San Pedro Tlaquepaque se declara Quórum Legal para sesionar.</w:t>
      </w:r>
    </w:p>
    <w:p w:rsidR="004C77D5" w:rsidRDefault="000D57E4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Continuando con la sesión, les propongo el orden del día de conformidad a la convocatoria realizada: </w:t>
      </w:r>
    </w:p>
    <w:p w:rsidR="004C77D5" w:rsidRDefault="000D5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rPr>
          <w:rFonts w:ascii="Arial" w:eastAsia="Arial" w:hAnsi="Arial" w:cs="Arial"/>
          <w:b/>
          <w:color w:val="000000"/>
          <w:sz w:val="26"/>
          <w:szCs w:val="26"/>
        </w:rPr>
        <w:t>Orden del Día</w:t>
      </w:r>
    </w:p>
    <w:p w:rsidR="004C77D5" w:rsidRDefault="004C77D5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4C77D5" w:rsidRDefault="000D5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Lista de asistencia y verificación de quórum legal para sesionar;</w:t>
      </w:r>
    </w:p>
    <w:p w:rsidR="004C77D5" w:rsidRDefault="000D5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II.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Lectura y en su caso aprobación del orden del día;</w:t>
      </w:r>
    </w:p>
    <w:p w:rsidR="004C77D5" w:rsidRDefault="000D5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III.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Estudio, análisis y dictaminación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del 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Acuerdo número 0143/2022/TC </w:t>
      </w:r>
      <w:r>
        <w:rPr>
          <w:rFonts w:ascii="Arial" w:eastAsia="Arial" w:hAnsi="Arial" w:cs="Arial"/>
          <w:color w:val="000000"/>
          <w:sz w:val="26"/>
          <w:szCs w:val="26"/>
        </w:rPr>
        <w:t>que tiene por objeto la creación del Reglamento del Instituto de Formación y Profesionalización Policial de San Pedro Tlaquepaque,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Jalisco;</w:t>
      </w:r>
    </w:p>
    <w:p w:rsidR="004C77D5" w:rsidRDefault="000D5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IV.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Asuntos Generales;</w:t>
      </w:r>
    </w:p>
    <w:p w:rsidR="004C77D5" w:rsidRDefault="000D5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V.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Clausura de la sesión. </w:t>
      </w:r>
    </w:p>
    <w:p w:rsidR="004C77D5" w:rsidRDefault="000D57E4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:rsidR="004C77D5" w:rsidRDefault="000D57E4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Les pido que si están por la afirmativa favor de manifestarlo levantando nuestra mano.</w:t>
      </w:r>
    </w:p>
    <w:p w:rsidR="004C77D5" w:rsidRDefault="000D57E4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UNANIMIDAD</w:t>
      </w:r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</w:p>
    <w:p w:rsidR="004C77D5" w:rsidRDefault="004C77D5">
      <w:pPr>
        <w:jc w:val="both"/>
        <w:rPr>
          <w:rFonts w:ascii="Arial" w:eastAsia="Arial" w:hAnsi="Arial" w:cs="Arial"/>
          <w:sz w:val="26"/>
          <w:szCs w:val="26"/>
        </w:rPr>
      </w:pPr>
    </w:p>
    <w:p w:rsidR="004C77D5" w:rsidRDefault="000D57E4">
      <w:pPr>
        <w:spacing w:line="240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TERCER PUNTO DEL ORDEN DEL DÍA:</w:t>
      </w:r>
    </w:p>
    <w:p w:rsidR="004C77D5" w:rsidRDefault="000D57E4">
      <w:pP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Regidora Presidenta Jael Chamú Ponce: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Continuando con la sesión, pasamos al desahogo del tercer punto, a efecto de llevar a cabo el estudio, </w:t>
      </w:r>
      <w:r>
        <w:rPr>
          <w:rFonts w:ascii="Arial" w:eastAsia="Arial" w:hAnsi="Arial" w:cs="Arial"/>
          <w:sz w:val="26"/>
          <w:szCs w:val="26"/>
        </w:rPr>
        <w:t xml:space="preserve">análisis </w:t>
      </w:r>
      <w:r>
        <w:rPr>
          <w:rFonts w:ascii="Arial" w:eastAsia="Arial" w:hAnsi="Arial" w:cs="Arial"/>
          <w:color w:val="000000"/>
          <w:sz w:val="26"/>
          <w:szCs w:val="26"/>
        </w:rPr>
        <w:t>y dictaminaci</w:t>
      </w:r>
      <w:r>
        <w:rPr>
          <w:rFonts w:ascii="Arial" w:eastAsia="Arial" w:hAnsi="Arial" w:cs="Arial"/>
          <w:sz w:val="26"/>
          <w:szCs w:val="26"/>
        </w:rPr>
        <w:t xml:space="preserve">ón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del 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Acuerdo número 0143/2022/TC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que tiene por objeto la creación del Reglamento del Instituto de Formación y Profesionalización </w:t>
      </w:r>
      <w:r>
        <w:rPr>
          <w:rFonts w:ascii="Arial" w:eastAsia="Arial" w:hAnsi="Arial" w:cs="Arial"/>
          <w:color w:val="000000"/>
          <w:sz w:val="26"/>
          <w:szCs w:val="26"/>
        </w:rPr>
        <w:t>Policial de San Pedro Tlaquepaque, Jalisco</w:t>
      </w:r>
    </w:p>
    <w:p w:rsidR="004C77D5" w:rsidRDefault="004C77D5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4C77D5" w:rsidRDefault="000D57E4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Comento que nos acompañan la Lic. Dinora Lizette Origel Montes de Oca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 y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el Mtro. Sabino Vázquez Vázquez, </w:t>
      </w:r>
      <w:r>
        <w:rPr>
          <w:rFonts w:ascii="Arial" w:eastAsia="Arial" w:hAnsi="Arial" w:cs="Arial"/>
          <w:sz w:val="26"/>
          <w:szCs w:val="26"/>
          <w:highlight w:val="white"/>
        </w:rPr>
        <w:t>compañeros de la Comisaría.</w:t>
      </w:r>
    </w:p>
    <w:p w:rsidR="004C77D5" w:rsidRDefault="000D57E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A quienes agradezco su asistencia para atender posibles inquietudes sobre dicho acuerdo, y conforme a lo establecido en el artículo 79 del Reglamento del Gobierno y de la Administración Pública del Ayuntamiento Constitucional de San Pedro Tlaquepaque.</w:t>
      </w:r>
    </w:p>
    <w:p w:rsidR="004C77D5" w:rsidRDefault="000D5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Por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lo que si ustedes consideran votamos para dar uso de la voz dentro de esta sesión, en caso de así requerir</w:t>
      </w:r>
      <w:r>
        <w:rPr>
          <w:rFonts w:ascii="Arial" w:eastAsia="Arial" w:hAnsi="Arial" w:cs="Arial"/>
          <w:sz w:val="26"/>
          <w:szCs w:val="26"/>
          <w:highlight w:val="white"/>
        </w:rPr>
        <w:t>se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.</w:t>
      </w:r>
    </w:p>
    <w:p w:rsidR="004C77D5" w:rsidRDefault="000D5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Los que estén a favor manifestarlo levantando nuestra mano...</w:t>
      </w:r>
    </w:p>
    <w:p w:rsidR="004C77D5" w:rsidRDefault="004C77D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6"/>
          <w:szCs w:val="26"/>
          <w:highlight w:val="white"/>
        </w:rPr>
      </w:pPr>
    </w:p>
    <w:p w:rsidR="004C77D5" w:rsidRDefault="000D57E4">
      <w:pPr>
        <w:spacing w:after="0" w:line="240" w:lineRule="auto"/>
        <w:rPr>
          <w:rFonts w:ascii="Arial" w:eastAsia="Arial" w:hAnsi="Arial" w:cs="Arial"/>
          <w:b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ES APROBADO POR UNANIMIDAD----------------------------------------------------</w:t>
      </w:r>
    </w:p>
    <w:p w:rsidR="004C77D5" w:rsidRDefault="000D57E4">
      <w:pPr>
        <w:spacing w:after="0" w:line="240" w:lineRule="auto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----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----------------------------------------</w:t>
      </w:r>
      <w:r>
        <w:rPr>
          <w:rFonts w:ascii="Arial" w:eastAsia="Arial" w:hAnsi="Arial" w:cs="Arial"/>
          <w:b/>
          <w:sz w:val="26"/>
          <w:szCs w:val="26"/>
          <w:highlight w:val="white"/>
        </w:rPr>
        <w:t>------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---------------------------------------------------</w:t>
      </w:r>
    </w:p>
    <w:p w:rsidR="004C77D5" w:rsidRDefault="004C7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:rsidR="004C77D5" w:rsidRDefault="000D57E4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 xml:space="preserve">Cabe hacer mención que la creación del Instituto de Formación y Profesionalización Policial de San Pedro Tlaquepaque, Jalisco y su reglamento, se realiza en </w:t>
      </w:r>
      <w:r>
        <w:rPr>
          <w:rFonts w:ascii="Arial" w:eastAsia="Arial" w:hAnsi="Arial" w:cs="Arial"/>
          <w:sz w:val="26"/>
          <w:szCs w:val="26"/>
          <w:highlight w:val="white"/>
        </w:rPr>
        <w:t>cumplimiento con los acuerdos emitidos por el Consejo Nacional de Seguridad Pública, que señalan las bases a seguir para que a la brevedad, todos los Estados y Municipios del territorio nacional homologuen su normativa en materia de Seguridad Pública lleva</w:t>
      </w:r>
      <w:r>
        <w:rPr>
          <w:rFonts w:ascii="Arial" w:eastAsia="Arial" w:hAnsi="Arial" w:cs="Arial"/>
          <w:sz w:val="26"/>
          <w:szCs w:val="26"/>
          <w:highlight w:val="white"/>
        </w:rPr>
        <w:t>ndo a cabo la transformación del Modelo Policial tradicional, al Modelo Nacional Policial a través de la Profesionalización de los Servidores Públicos que comprende la formación inicial, continua y profesionalización de los elementos operativos y mandos de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 la Comisaría. </w:t>
      </w:r>
    </w:p>
    <w:p w:rsidR="004C77D5" w:rsidRDefault="000D5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>Es de reconocer el trabajo y compromiso de todas y todos los involucrados. Siendo una iniciativa presentada por la Lcda. Mirna Citlali, nuestra Presidenta Municipal, con la que refrenda su compromiso por fortalecer la seguridad en el munici</w:t>
      </w:r>
      <w:r>
        <w:rPr>
          <w:rFonts w:ascii="Arial" w:eastAsia="Arial" w:hAnsi="Arial" w:cs="Arial"/>
          <w:sz w:val="26"/>
          <w:szCs w:val="26"/>
          <w:highlight w:val="white"/>
        </w:rPr>
        <w:t>pio. Gracias a la Comisaría, la Secretaría del Ayuntamiento, la Consejería Jurídica y por supuesto a cada una de las y los regidores que formamos ambas comisiones.</w:t>
      </w:r>
    </w:p>
    <w:p w:rsidR="004C77D5" w:rsidRDefault="004C7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6"/>
          <w:szCs w:val="26"/>
          <w:highlight w:val="yellow"/>
        </w:rPr>
      </w:pPr>
    </w:p>
    <w:p w:rsidR="004C77D5" w:rsidRDefault="000D57E4">
      <w:pP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 xml:space="preserve">Dicho lo anterior se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abre el registro de oradores sobre el análisis de la propuesta.</w:t>
      </w:r>
    </w:p>
    <w:p w:rsidR="004C77D5" w:rsidRDefault="004C77D5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:rsidR="004C77D5" w:rsidRDefault="000D5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Procedemos a la votación en relación a la 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aprobación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el 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Acuerdo número 0143/2022/TC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que tiene por objeto la creación del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Reglamento del Instituto de Formación y Profesionalización Policial de San Pedro Tlaquepaque, Jalisco;</w:t>
      </w:r>
    </w:p>
    <w:p w:rsidR="004C77D5" w:rsidRDefault="004C7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4C77D5" w:rsidRDefault="000D5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Si están por la afirmativa favor de manifestarlo levantando nuestra mano.</w:t>
      </w:r>
    </w:p>
    <w:p w:rsidR="004C77D5" w:rsidRDefault="004C77D5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4C77D5" w:rsidRDefault="004C77D5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4C77D5" w:rsidRDefault="004C77D5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4C77D5" w:rsidRDefault="000D57E4">
      <w:pPr>
        <w:spacing w:after="0" w:line="240" w:lineRule="auto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b/>
          <w:sz w:val="26"/>
          <w:szCs w:val="26"/>
          <w:highlight w:val="white"/>
        </w:rPr>
        <w:lastRenderedPageBreak/>
        <w:t>ES APROBADO POR UNANIMIDAD ------------------------------------------------------------------------------------------------------</w:t>
      </w:r>
    </w:p>
    <w:p w:rsidR="004C77D5" w:rsidRDefault="004C77D5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4C77D5" w:rsidRDefault="000D57E4">
      <w:pPr>
        <w:spacing w:line="240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Continuamos con el CUARTO PUNTO DEL ORDEN DEL DÍA:</w:t>
      </w:r>
    </w:p>
    <w:p w:rsidR="004C77D5" w:rsidRDefault="000D57E4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Si existe algún otro punto a tratar, cedo el uso de la voz a los presentes:</w:t>
      </w:r>
    </w:p>
    <w:p w:rsidR="004C77D5" w:rsidRDefault="004C7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4C77D5" w:rsidRDefault="004C7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4C77D5" w:rsidRDefault="000D57E4">
      <w:pPr>
        <w:spacing w:line="240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QUINTO PUNTO DEL ORDEN DEL DÍA:</w:t>
      </w:r>
    </w:p>
    <w:p w:rsidR="004C77D5" w:rsidRDefault="000D57E4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Una vez agotado el orden del día y en cumplimiento al quinto punto, </w:t>
      </w:r>
      <w:r>
        <w:rPr>
          <w:rFonts w:ascii="Arial" w:eastAsia="Arial" w:hAnsi="Arial" w:cs="Arial"/>
          <w:sz w:val="26"/>
          <w:szCs w:val="26"/>
        </w:rPr>
        <w:t>siendo las 13.43 horas del día 11 de enero del 2023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declaro clausurada la </w:t>
      </w:r>
      <w:r>
        <w:rPr>
          <w:rFonts w:ascii="Arial" w:eastAsia="Arial" w:hAnsi="Arial" w:cs="Arial"/>
          <w:sz w:val="26"/>
          <w:szCs w:val="26"/>
        </w:rPr>
        <w:t>Décima Séptima Sesión de la Comisión Edilicia de Reglamentos Municipales y Puntos Legislativos como convocante y la Comisión Edilicia de Seguridad Pública y Protección Civil y Bomber</w:t>
      </w:r>
      <w:r>
        <w:rPr>
          <w:rFonts w:ascii="Arial" w:eastAsia="Arial" w:hAnsi="Arial" w:cs="Arial"/>
          <w:sz w:val="26"/>
          <w:szCs w:val="26"/>
        </w:rPr>
        <w:t>os como coadyuvante.</w:t>
      </w:r>
    </w:p>
    <w:p w:rsidR="004C77D5" w:rsidRDefault="000D57E4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Gracias a todos por su asistencia y participación.</w:t>
      </w:r>
    </w:p>
    <w:p w:rsidR="004C77D5" w:rsidRDefault="000D57E4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Buenas tardes.</w:t>
      </w:r>
    </w:p>
    <w:p w:rsidR="004C77D5" w:rsidRDefault="004C77D5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4C77D5" w:rsidRDefault="000D57E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Comisión Edilicia de Reglamentos Municipales y Puntos Legislativos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4C77D5" w:rsidRDefault="004C77D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0207" w:type="dxa"/>
        <w:tblInd w:w="-1418" w:type="dxa"/>
        <w:tblLayout w:type="fixed"/>
        <w:tblLook w:val="0400" w:firstRow="0" w:lastRow="0" w:firstColumn="0" w:lastColumn="0" w:noHBand="0" w:noVBand="1"/>
      </w:tblPr>
      <w:tblGrid>
        <w:gridCol w:w="4905"/>
        <w:gridCol w:w="5302"/>
      </w:tblGrid>
      <w:tr w:rsidR="004C77D5">
        <w:trPr>
          <w:trHeight w:val="1829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</w:t>
            </w: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Jael Chamú Ponce</w:t>
            </w: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Presidenta de la Comisión</w:t>
            </w:r>
          </w:p>
          <w:p w:rsidR="004C77D5" w:rsidRDefault="004C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7D5" w:rsidRDefault="004C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7D5" w:rsidRDefault="004C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7D5" w:rsidRDefault="004C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7D5" w:rsidRDefault="004C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7D5" w:rsidRDefault="004C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</w:t>
            </w: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José Luis Salazar Martínez</w:t>
            </w: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Síndico y Vocal</w:t>
            </w:r>
          </w:p>
          <w:p w:rsidR="004C77D5" w:rsidRDefault="004C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D5">
        <w:trPr>
          <w:trHeight w:val="1687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</w:t>
            </w: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Alma Dolores Hurtado Castillo</w:t>
            </w: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Vocal</w:t>
            </w:r>
          </w:p>
          <w:p w:rsidR="004C77D5" w:rsidRDefault="000D57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C77D5" w:rsidRDefault="004C77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7D5" w:rsidRDefault="004C77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</w:t>
            </w: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Juan Martín Núñez Morán</w:t>
            </w: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Vocal</w:t>
            </w:r>
          </w:p>
          <w:p w:rsidR="004C77D5" w:rsidRDefault="004C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D5">
        <w:trPr>
          <w:trHeight w:val="2051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D5" w:rsidRDefault="004C77D5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</w:t>
            </w: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Roberto Gerardo Albarrán Magaña</w:t>
            </w: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Vocal</w:t>
            </w:r>
          </w:p>
          <w:p w:rsidR="004C77D5" w:rsidRDefault="004C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D5" w:rsidRDefault="004C77D5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</w:t>
            </w: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María del Rosario Velázquez Hernández</w:t>
            </w: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Vocal</w:t>
            </w:r>
          </w:p>
          <w:p w:rsidR="004C77D5" w:rsidRDefault="004C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D5">
        <w:trPr>
          <w:trHeight w:val="2529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D5" w:rsidRDefault="004C77D5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4C77D5" w:rsidRDefault="004C77D5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</w:t>
            </w: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Luis Arturo Morones Vargas</w:t>
            </w: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Vocal</w:t>
            </w:r>
          </w:p>
          <w:p w:rsidR="004C77D5" w:rsidRDefault="004C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D5" w:rsidRDefault="004C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7D5" w:rsidRDefault="004C77D5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</w:t>
            </w: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 Rosa Loza Agraz</w:t>
            </w:r>
          </w:p>
          <w:p w:rsidR="004C77D5" w:rsidRDefault="000D57E4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Vocal</w:t>
            </w:r>
          </w:p>
        </w:tc>
      </w:tr>
    </w:tbl>
    <w:p w:rsidR="004C77D5" w:rsidRDefault="004C77D5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4C77D5" w:rsidRDefault="000D57E4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Comisión Edilicia de Seguridad Pública y Protección Civil y Bomberos</w:t>
      </w:r>
    </w:p>
    <w:p w:rsidR="004C77D5" w:rsidRDefault="004C77D5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C77D5" w:rsidRDefault="004C77D5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C77D5" w:rsidRDefault="004C77D5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C77D5" w:rsidRDefault="004C77D5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C77D5" w:rsidRDefault="000D57E4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____________________________________________</w:t>
      </w:r>
    </w:p>
    <w:p w:rsidR="004C77D5" w:rsidRDefault="000D57E4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Lcda. Mirna Citlalli Amaya de Luna</w:t>
      </w:r>
    </w:p>
    <w:p w:rsidR="004C77D5" w:rsidRDefault="000D57E4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Presidenta Municipal de San Pedro Tlaquepaque y</w:t>
      </w:r>
    </w:p>
    <w:p w:rsidR="004C77D5" w:rsidRDefault="000D57E4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Presidenta de la Comisión Edilicia de Seguridad Pública y </w:t>
      </w:r>
    </w:p>
    <w:p w:rsidR="004C77D5" w:rsidRDefault="000D57E4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Protección Civil y Bomberos</w:t>
      </w:r>
    </w:p>
    <w:p w:rsidR="004C77D5" w:rsidRDefault="004C77D5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:rsidR="004C77D5" w:rsidRDefault="004C77D5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:rsidR="004C77D5" w:rsidRDefault="004C77D5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:rsidR="004C77D5" w:rsidRDefault="004C77D5">
      <w:pPr>
        <w:spacing w:after="0" w:line="240" w:lineRule="auto"/>
        <w:ind w:right="-518"/>
        <w:rPr>
          <w:rFonts w:ascii="Arial" w:eastAsia="Arial" w:hAnsi="Arial" w:cs="Arial"/>
          <w:sz w:val="24"/>
          <w:szCs w:val="24"/>
          <w:highlight w:val="white"/>
        </w:rPr>
      </w:pPr>
    </w:p>
    <w:p w:rsidR="004C77D5" w:rsidRDefault="000D57E4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</w:t>
      </w:r>
    </w:p>
    <w:p w:rsidR="004C77D5" w:rsidRDefault="000D57E4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Braulio Ernesto García Pérez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C77D5" w:rsidRDefault="000D57E4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Vocal</w:t>
      </w:r>
    </w:p>
    <w:p w:rsidR="004C77D5" w:rsidRDefault="004C77D5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:rsidR="004C77D5" w:rsidRDefault="004C77D5">
      <w:pPr>
        <w:spacing w:after="0" w:line="240" w:lineRule="auto"/>
        <w:ind w:left="284" w:right="-518"/>
        <w:jc w:val="center"/>
        <w:rPr>
          <w:rFonts w:ascii="Arial" w:eastAsia="Arial" w:hAnsi="Arial" w:cs="Arial"/>
          <w:b/>
          <w:sz w:val="24"/>
          <w:szCs w:val="24"/>
        </w:rPr>
      </w:pPr>
    </w:p>
    <w:p w:rsidR="004C77D5" w:rsidRDefault="004C77D5">
      <w:pPr>
        <w:spacing w:after="0" w:line="240" w:lineRule="auto"/>
        <w:ind w:right="-518"/>
        <w:rPr>
          <w:rFonts w:ascii="Arial" w:eastAsia="Arial" w:hAnsi="Arial" w:cs="Arial"/>
          <w:b/>
          <w:sz w:val="24"/>
          <w:szCs w:val="24"/>
        </w:rPr>
      </w:pPr>
    </w:p>
    <w:p w:rsidR="004C77D5" w:rsidRDefault="004C77D5">
      <w:pPr>
        <w:spacing w:after="0" w:line="240" w:lineRule="auto"/>
        <w:ind w:left="284" w:right="-518"/>
        <w:jc w:val="center"/>
        <w:rPr>
          <w:rFonts w:ascii="Arial" w:eastAsia="Arial" w:hAnsi="Arial" w:cs="Arial"/>
          <w:b/>
          <w:sz w:val="24"/>
          <w:szCs w:val="24"/>
        </w:rPr>
      </w:pPr>
    </w:p>
    <w:p w:rsidR="004C77D5" w:rsidRDefault="000D57E4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</w:t>
      </w:r>
    </w:p>
    <w:p w:rsidR="004C77D5" w:rsidRDefault="000D57E4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José Luis Salazar Martínez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C77D5" w:rsidRDefault="000D57E4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Vocal</w:t>
      </w:r>
    </w:p>
    <w:p w:rsidR="004C77D5" w:rsidRDefault="004C77D5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</w:p>
    <w:p w:rsidR="004C77D5" w:rsidRDefault="004C77D5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</w:p>
    <w:p w:rsidR="004C77D5" w:rsidRDefault="004C77D5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</w:p>
    <w:p w:rsidR="004C77D5" w:rsidRDefault="004C77D5">
      <w:pPr>
        <w:spacing w:after="0" w:line="240" w:lineRule="auto"/>
        <w:ind w:right="-518"/>
        <w:rPr>
          <w:rFonts w:ascii="Arial" w:eastAsia="Arial" w:hAnsi="Arial" w:cs="Arial"/>
          <w:sz w:val="24"/>
          <w:szCs w:val="24"/>
        </w:rPr>
      </w:pPr>
    </w:p>
    <w:p w:rsidR="004C77D5" w:rsidRDefault="000D57E4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</w:t>
      </w:r>
      <w:r>
        <w:rPr>
          <w:rFonts w:ascii="Arial" w:eastAsia="Arial" w:hAnsi="Arial" w:cs="Arial"/>
          <w:sz w:val="24"/>
          <w:szCs w:val="24"/>
        </w:rPr>
        <w:t>__________</w:t>
      </w:r>
    </w:p>
    <w:p w:rsidR="004C77D5" w:rsidRDefault="000D57E4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María del Rosario Velázquez Hernández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C77D5" w:rsidRDefault="000D57E4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Vocal</w:t>
      </w:r>
    </w:p>
    <w:p w:rsidR="004C77D5" w:rsidRDefault="004C77D5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</w:p>
    <w:p w:rsidR="004C77D5" w:rsidRDefault="004C77D5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</w:p>
    <w:p w:rsidR="004C77D5" w:rsidRDefault="004C77D5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</w:p>
    <w:p w:rsidR="004C77D5" w:rsidRDefault="000D57E4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</w:t>
      </w:r>
    </w:p>
    <w:p w:rsidR="004C77D5" w:rsidRDefault="000D57E4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Luis Arturo Morones Vargas</w:t>
      </w:r>
    </w:p>
    <w:p w:rsidR="004C77D5" w:rsidRDefault="000D57E4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Vocal</w:t>
      </w:r>
    </w:p>
    <w:p w:rsidR="004C77D5" w:rsidRDefault="004C77D5">
      <w:pPr>
        <w:spacing w:after="0" w:line="240" w:lineRule="auto"/>
        <w:ind w:left="284" w:right="-518"/>
        <w:jc w:val="center"/>
        <w:rPr>
          <w:rFonts w:ascii="Arial" w:eastAsia="Arial" w:hAnsi="Arial" w:cs="Arial"/>
          <w:sz w:val="24"/>
          <w:szCs w:val="24"/>
        </w:rPr>
      </w:pPr>
    </w:p>
    <w:p w:rsidR="004C77D5" w:rsidRDefault="004C77D5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sectPr w:rsidR="004C77D5">
      <w:footerReference w:type="default" r:id="rId9"/>
      <w:pgSz w:w="12240" w:h="20160"/>
      <w:pgMar w:top="1417" w:right="1700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57E4">
      <w:pPr>
        <w:spacing w:after="0" w:line="240" w:lineRule="auto"/>
      </w:pPr>
      <w:r>
        <w:separator/>
      </w:r>
    </w:p>
  </w:endnote>
  <w:endnote w:type="continuationSeparator" w:id="0">
    <w:p w:rsidR="00000000" w:rsidRDefault="000D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D5" w:rsidRDefault="000D57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4C77D5" w:rsidRDefault="000D57E4">
    <w:pPr>
      <w:widowControl w:val="0"/>
      <w:spacing w:after="0" w:line="240" w:lineRule="auto"/>
      <w:jc w:val="both"/>
      <w:rPr>
        <w:color w:val="000000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 xml:space="preserve">DÉCIMA SÉPTIMA SESIÓN ORDINARIA DE LA COMISIÓN </w:t>
    </w:r>
    <w:r>
      <w:rPr>
        <w:rFonts w:ascii="Arial" w:eastAsia="Arial" w:hAnsi="Arial" w:cs="Arial"/>
        <w:b/>
        <w:sz w:val="14"/>
        <w:szCs w:val="14"/>
        <w:highlight w:val="white"/>
      </w:rPr>
      <w:t xml:space="preserve"> EDILICIA </w:t>
    </w:r>
    <w:r>
      <w:rPr>
        <w:rFonts w:ascii="Arial" w:eastAsia="Arial" w:hAnsi="Arial" w:cs="Arial"/>
        <w:b/>
        <w:sz w:val="14"/>
        <w:szCs w:val="14"/>
      </w:rPr>
      <w:t>DE REGLAMENTOS MUNICIPALES Y PUNTOS LEGISLATIVOS COMO CONVOCANTE Y LA COMISIÓN EDILICIA DE SEGURIDAD PÚBLICA Y PROTECCIÓN CIVIL Y BOMBEROS COMO COADYUVANTE CELEBRADA EL MIÉRCOLES 11 DE ENERO DEL AÑO 2023 EN LA SALA EX PRESIDENTES DEL AYUNTAMIENTO CONSTITUC</w:t>
    </w:r>
    <w:r>
      <w:rPr>
        <w:rFonts w:ascii="Arial" w:eastAsia="Arial" w:hAnsi="Arial" w:cs="Arial"/>
        <w:b/>
        <w:sz w:val="14"/>
        <w:szCs w:val="14"/>
      </w:rPr>
      <w:t>IONAL DE SAN PEDRO TLAQUEPAQUE PARA EL ESTUDIO, ANÁLISIS Y DICTAMINACIÓN DEL ACUERDO 0143/2022/TC QUE SE TIENE POR OBJETO LA CREACIÓN DEL REGLAMENTO DEL INSTITUTO DE FORMACIÓN Y PROFESIONALIZACIÓN POLICIAL DE SAN PEDRO TLAQUEPAQUE, JALISCO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57E4">
      <w:pPr>
        <w:spacing w:after="0" w:line="240" w:lineRule="auto"/>
      </w:pPr>
      <w:r>
        <w:separator/>
      </w:r>
    </w:p>
  </w:footnote>
  <w:footnote w:type="continuationSeparator" w:id="0">
    <w:p w:rsidR="00000000" w:rsidRDefault="000D5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77D5"/>
    <w:rsid w:val="000D57E4"/>
    <w:rsid w:val="004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0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831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3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3197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A5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BF7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A5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F7"/>
    <w:rPr>
      <w:rFonts w:ascii="Calibri" w:eastAsia="Calibri" w:hAnsi="Calibri" w:cs="Calibri"/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0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831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3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3197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A5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BF7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A5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F7"/>
    <w:rPr>
      <w:rFonts w:ascii="Calibri" w:eastAsia="Calibri" w:hAnsi="Calibri" w:cs="Calibri"/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rRevrSNHII6uCWPuER4kED8XYw==">AMUW2mXIC3wvv8XPPqx/c5A4Bvv4tF73dDvSoCV2ro96iLDsqIeOz09xFm6Qub3xaQUxvU0BfogsYBIXfdwqsRKtqyiKP5EWVH4hOP7YGxC14wrKIGa394o=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de la Luz Rios Varela</dc:creator>
  <cp:lastModifiedBy>Servicio Social Transparencia 2</cp:lastModifiedBy>
  <cp:revision>2</cp:revision>
  <dcterms:created xsi:type="dcterms:W3CDTF">2022-04-06T19:22:00Z</dcterms:created>
  <dcterms:modified xsi:type="dcterms:W3CDTF">2023-02-08T16:14:00Z</dcterms:modified>
</cp:coreProperties>
</file>