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FF19" w14:textId="75929C6C" w:rsidR="002411AD" w:rsidRDefault="0089514E" w:rsidP="002411AD">
      <w:pPr>
        <w:spacing w:line="360" w:lineRule="auto"/>
        <w:rPr>
          <w:rFonts w:ascii="Arial" w:hAnsi="Arial" w:cs="Arial"/>
          <w:b/>
          <w:bCs/>
          <w:sz w:val="28"/>
          <w:szCs w:val="28"/>
        </w:rPr>
      </w:pPr>
      <w:r>
        <w:rPr>
          <w:rFonts w:ascii="Arial" w:hAnsi="Arial" w:cs="Arial"/>
          <w:b/>
          <w:bCs/>
          <w:sz w:val="28"/>
          <w:szCs w:val="28"/>
        </w:rPr>
        <w:t xml:space="preserve">Informe Trimestral de la Dirección de la </w:t>
      </w:r>
      <w:r w:rsidR="002411AD">
        <w:rPr>
          <w:rFonts w:ascii="Arial" w:hAnsi="Arial" w:cs="Arial"/>
          <w:b/>
          <w:bCs/>
          <w:sz w:val="28"/>
          <w:szCs w:val="28"/>
        </w:rPr>
        <w:t>Unidad de Transparencia</w:t>
      </w:r>
      <w:r>
        <w:rPr>
          <w:rFonts w:ascii="Arial" w:hAnsi="Arial" w:cs="Arial"/>
          <w:b/>
          <w:bCs/>
          <w:sz w:val="28"/>
          <w:szCs w:val="28"/>
        </w:rPr>
        <w:t xml:space="preserve"> correspondiente al periodo del 01 octubre al</w:t>
      </w:r>
      <w:r w:rsidR="00C0412F">
        <w:rPr>
          <w:rFonts w:ascii="Arial" w:hAnsi="Arial" w:cs="Arial"/>
          <w:b/>
          <w:bCs/>
          <w:sz w:val="28"/>
          <w:szCs w:val="28"/>
        </w:rPr>
        <w:t xml:space="preserve"> 31</w:t>
      </w:r>
      <w:r>
        <w:rPr>
          <w:rFonts w:ascii="Arial" w:hAnsi="Arial" w:cs="Arial"/>
          <w:b/>
          <w:bCs/>
          <w:sz w:val="28"/>
          <w:szCs w:val="28"/>
        </w:rPr>
        <w:t xml:space="preserve"> de diciembre.</w:t>
      </w:r>
    </w:p>
    <w:p w14:paraId="42014344" w14:textId="77777777" w:rsidR="002411AD" w:rsidRDefault="002411AD" w:rsidP="002411AD">
      <w:pPr>
        <w:spacing w:line="360" w:lineRule="auto"/>
        <w:rPr>
          <w:rFonts w:ascii="Arial" w:hAnsi="Arial" w:cs="Arial"/>
        </w:rPr>
      </w:pPr>
    </w:p>
    <w:p w14:paraId="0B5F8D25" w14:textId="078E7EF9" w:rsidR="005E08D8" w:rsidRPr="000F6874" w:rsidRDefault="005E08D8" w:rsidP="002411AD">
      <w:pPr>
        <w:spacing w:line="360" w:lineRule="auto"/>
        <w:jc w:val="both"/>
        <w:rPr>
          <w:rFonts w:ascii="Century Gothic" w:hAnsi="Century Gothic" w:cs="Arial"/>
          <w:sz w:val="22"/>
          <w:szCs w:val="22"/>
        </w:rPr>
      </w:pPr>
      <w:r w:rsidRPr="000F6874">
        <w:rPr>
          <w:rFonts w:ascii="Century Gothic" w:hAnsi="Century Gothic" w:cs="Arial"/>
          <w:sz w:val="22"/>
          <w:szCs w:val="22"/>
        </w:rPr>
        <w:t>La Unidad de Transparencia en el cumplimiento de sus facultad</w:t>
      </w:r>
      <w:r w:rsidR="00C97635" w:rsidRPr="000F6874">
        <w:rPr>
          <w:rFonts w:ascii="Century Gothic" w:hAnsi="Century Gothic" w:cs="Arial"/>
          <w:sz w:val="22"/>
          <w:szCs w:val="22"/>
        </w:rPr>
        <w:t>e</w:t>
      </w:r>
      <w:r w:rsidRPr="000F6874">
        <w:rPr>
          <w:rFonts w:ascii="Century Gothic" w:hAnsi="Century Gothic" w:cs="Arial"/>
          <w:sz w:val="22"/>
          <w:szCs w:val="22"/>
        </w:rPr>
        <w:t xml:space="preserve">s y obligaciones, durante el periodo comprendido de </w:t>
      </w:r>
      <w:r w:rsidR="0089514E" w:rsidRPr="000F6874">
        <w:rPr>
          <w:rFonts w:ascii="Century Gothic" w:hAnsi="Century Gothic" w:cs="Arial"/>
          <w:sz w:val="22"/>
          <w:szCs w:val="22"/>
        </w:rPr>
        <w:t>octubre a diciembre</w:t>
      </w:r>
      <w:r w:rsidRPr="000F6874">
        <w:rPr>
          <w:rFonts w:ascii="Century Gothic" w:hAnsi="Century Gothic" w:cs="Arial"/>
          <w:sz w:val="22"/>
          <w:szCs w:val="22"/>
        </w:rPr>
        <w:t xml:space="preserve"> del año 2022, informa lo siguiente:</w:t>
      </w:r>
    </w:p>
    <w:p w14:paraId="00A9C3B8" w14:textId="77777777" w:rsidR="00812AE3" w:rsidRPr="000F6874" w:rsidRDefault="00812AE3" w:rsidP="002411AD">
      <w:pPr>
        <w:spacing w:line="360" w:lineRule="auto"/>
        <w:jc w:val="both"/>
        <w:rPr>
          <w:rFonts w:ascii="Century Gothic" w:hAnsi="Century Gothic" w:cs="Arial"/>
          <w:sz w:val="22"/>
          <w:szCs w:val="22"/>
        </w:rPr>
      </w:pPr>
    </w:p>
    <w:p w14:paraId="1B9F27A2" w14:textId="30C340BD" w:rsidR="007D0FA8" w:rsidRPr="00A537C2" w:rsidRDefault="00812AE3" w:rsidP="00A537C2">
      <w:pPr>
        <w:pStyle w:val="Prrafodelista"/>
        <w:numPr>
          <w:ilvl w:val="0"/>
          <w:numId w:val="6"/>
        </w:numPr>
        <w:spacing w:line="360" w:lineRule="auto"/>
        <w:jc w:val="both"/>
        <w:rPr>
          <w:rFonts w:ascii="Century Gothic" w:hAnsi="Century Gothic" w:cs="Arial"/>
        </w:rPr>
      </w:pPr>
      <w:r w:rsidRPr="000F6874">
        <w:rPr>
          <w:rFonts w:ascii="Century Gothic" w:hAnsi="Century Gothic" w:cs="Arial"/>
        </w:rPr>
        <w:t>B</w:t>
      </w:r>
      <w:r w:rsidR="00666CD9" w:rsidRPr="000F6874">
        <w:rPr>
          <w:rFonts w:ascii="Century Gothic" w:hAnsi="Century Gothic" w:cs="Arial"/>
        </w:rPr>
        <w:t>rindó atención a un total de 453 s</w:t>
      </w:r>
      <w:r w:rsidR="00A537C2">
        <w:rPr>
          <w:rFonts w:ascii="Century Gothic" w:hAnsi="Century Gothic" w:cs="Arial"/>
        </w:rPr>
        <w:t>olicitudes</w:t>
      </w:r>
      <w:r w:rsidR="00666CD9" w:rsidRPr="000F6874">
        <w:rPr>
          <w:rFonts w:ascii="Century Gothic" w:hAnsi="Century Gothic" w:cs="Arial"/>
        </w:rPr>
        <w:t xml:space="preserve"> de acceso a la información realizando las gestiones necesarias para brindar respuesta oportuna a las y los ciudadanos, de los cuales, </w:t>
      </w:r>
      <w:r w:rsidR="00A537C2">
        <w:rPr>
          <w:rFonts w:ascii="Century Gothic" w:hAnsi="Century Gothic" w:cs="Arial"/>
        </w:rPr>
        <w:t>el 96.9</w:t>
      </w:r>
      <w:r w:rsidR="00A537C2" w:rsidRPr="00A537C2">
        <w:rPr>
          <w:rFonts w:ascii="Century Gothic" w:hAnsi="Century Gothic" w:cs="Arial"/>
        </w:rPr>
        <w:t>%</w:t>
      </w:r>
      <w:r w:rsidR="00666CD9" w:rsidRPr="00A537C2">
        <w:rPr>
          <w:rFonts w:ascii="Century Gothic" w:hAnsi="Century Gothic" w:cs="Arial"/>
        </w:rPr>
        <w:t xml:space="preserve"> corresponde a solicitudes de acceso a la información pública y </w:t>
      </w:r>
      <w:r w:rsidR="00A537C2" w:rsidRPr="00A537C2">
        <w:rPr>
          <w:rFonts w:ascii="Century Gothic" w:hAnsi="Century Gothic" w:cs="Arial"/>
        </w:rPr>
        <w:t>el 3.3% a</w:t>
      </w:r>
      <w:r w:rsidR="00666CD9" w:rsidRPr="00A537C2">
        <w:rPr>
          <w:rFonts w:ascii="Century Gothic" w:hAnsi="Century Gothic" w:cs="Arial"/>
        </w:rPr>
        <w:t xml:space="preserve"> solicitudes de ejercicio de derechos ARCO.  </w:t>
      </w:r>
    </w:p>
    <w:p w14:paraId="3EEBC799" w14:textId="77777777" w:rsidR="007D0FA8" w:rsidRPr="000F6874" w:rsidRDefault="007D0FA8" w:rsidP="007D0FA8">
      <w:pPr>
        <w:spacing w:line="360" w:lineRule="auto"/>
        <w:jc w:val="both"/>
        <w:rPr>
          <w:rFonts w:ascii="Century Gothic" w:hAnsi="Century Gothic" w:cs="Arial"/>
          <w:sz w:val="22"/>
          <w:szCs w:val="22"/>
        </w:rPr>
      </w:pPr>
    </w:p>
    <w:p w14:paraId="159E0464" w14:textId="3B8B03F8" w:rsidR="009174E5" w:rsidRDefault="00F74EB2" w:rsidP="009174E5">
      <w:pPr>
        <w:pStyle w:val="Prrafodelista"/>
        <w:numPr>
          <w:ilvl w:val="0"/>
          <w:numId w:val="6"/>
        </w:numPr>
        <w:spacing w:line="360" w:lineRule="auto"/>
        <w:jc w:val="both"/>
        <w:rPr>
          <w:rFonts w:ascii="Century Gothic" w:hAnsi="Century Gothic" w:cs="Arial"/>
        </w:rPr>
      </w:pPr>
      <w:r w:rsidRPr="000F6874">
        <w:rPr>
          <w:rFonts w:ascii="Century Gothic" w:hAnsi="Century Gothic" w:cs="Arial"/>
        </w:rPr>
        <w:t>La ciudadanía ha optado por utilizar las tecnologías de información como instrumento para presentar sus solicitudes de información, destacando el uso de la Plataforma Nacional de Transparencia a través de su Sistema de recepción de solicitudes SISAI 2.0, seguido del correo electrónico.</w:t>
      </w:r>
      <w:bookmarkStart w:id="0" w:name="_Hlk115773834"/>
    </w:p>
    <w:p w14:paraId="097FBD7F" w14:textId="77777777" w:rsidR="005D13E6" w:rsidRPr="005D13E6" w:rsidRDefault="005D13E6" w:rsidP="005D13E6">
      <w:pPr>
        <w:pStyle w:val="Prrafodelista"/>
        <w:rPr>
          <w:rFonts w:ascii="Century Gothic" w:hAnsi="Century Gothic" w:cs="Arial"/>
        </w:rPr>
      </w:pPr>
    </w:p>
    <w:p w14:paraId="6F53828B" w14:textId="37A1B535" w:rsidR="005D13E6" w:rsidRPr="000F6874" w:rsidRDefault="00EC1172" w:rsidP="005D13E6">
      <w:pPr>
        <w:pStyle w:val="Prrafodelista"/>
        <w:spacing w:line="360" w:lineRule="auto"/>
        <w:jc w:val="both"/>
        <w:rPr>
          <w:rFonts w:ascii="Century Gothic" w:hAnsi="Century Gothic" w:cs="Arial"/>
        </w:rPr>
      </w:pPr>
      <w:r>
        <w:rPr>
          <w:rFonts w:ascii="Century Gothic" w:hAnsi="Century Gothic" w:cs="Arial"/>
          <w:noProof/>
        </w:rPr>
        <w:drawing>
          <wp:inline distT="0" distB="0" distL="0" distR="0" wp14:anchorId="51B173D1" wp14:editId="39BA21B8">
            <wp:extent cx="5486400" cy="32004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1B2E11" w14:textId="77777777" w:rsidR="009174E5" w:rsidRPr="000F6874" w:rsidRDefault="009174E5" w:rsidP="009174E5">
      <w:pPr>
        <w:pStyle w:val="Prrafodelista"/>
        <w:rPr>
          <w:rFonts w:ascii="Century Gothic" w:hAnsi="Century Gothic" w:cs="Arial"/>
        </w:rPr>
      </w:pPr>
    </w:p>
    <w:p w14:paraId="0B5456AF" w14:textId="090CFEC6" w:rsidR="009174E5" w:rsidRPr="000F6874" w:rsidRDefault="00F74EB2" w:rsidP="005D13E6">
      <w:pPr>
        <w:pStyle w:val="Prrafodelista"/>
        <w:numPr>
          <w:ilvl w:val="0"/>
          <w:numId w:val="6"/>
        </w:numPr>
        <w:spacing w:line="360" w:lineRule="auto"/>
        <w:jc w:val="both"/>
        <w:rPr>
          <w:rFonts w:ascii="Century Gothic" w:hAnsi="Century Gothic" w:cs="Arial"/>
        </w:rPr>
      </w:pPr>
      <w:r w:rsidRPr="000F6874">
        <w:rPr>
          <w:rFonts w:ascii="Century Gothic" w:hAnsi="Century Gothic" w:cs="Arial"/>
        </w:rPr>
        <w:t xml:space="preserve">Las solicitudes, han sido atendidas conforme a la </w:t>
      </w:r>
      <w:r w:rsidR="00A537C2">
        <w:rPr>
          <w:rFonts w:ascii="Century Gothic" w:hAnsi="Century Gothic" w:cs="Arial"/>
        </w:rPr>
        <w:t>L</w:t>
      </w:r>
      <w:r w:rsidRPr="000F6874">
        <w:rPr>
          <w:rFonts w:ascii="Century Gothic" w:hAnsi="Century Gothic" w:cs="Arial"/>
        </w:rPr>
        <w:t>ey en la materia, resolviéndose en tres sentidos: afirmativo, afirmativo parcial o negativo</w:t>
      </w:r>
      <w:r w:rsidR="001A1857" w:rsidRPr="000F6874">
        <w:rPr>
          <w:rFonts w:ascii="Century Gothic" w:hAnsi="Century Gothic" w:cs="Arial"/>
        </w:rPr>
        <w:t xml:space="preserve">, siendo positivo el balance en cuanto a la entrega de la información </w:t>
      </w:r>
      <w:r w:rsidR="00C97635" w:rsidRPr="000F6874">
        <w:rPr>
          <w:rFonts w:ascii="Century Gothic" w:hAnsi="Century Gothic" w:cs="Arial"/>
        </w:rPr>
        <w:t>pública</w:t>
      </w:r>
      <w:r w:rsidR="001A1857" w:rsidRPr="000F6874">
        <w:rPr>
          <w:rFonts w:ascii="Century Gothic" w:hAnsi="Century Gothic" w:cs="Arial"/>
        </w:rPr>
        <w:t>, garantizando así el derecho de acceso a la información de las y los ciudadanos</w:t>
      </w:r>
      <w:bookmarkEnd w:id="0"/>
      <w:r w:rsidR="001A1857" w:rsidRPr="000F6874">
        <w:rPr>
          <w:rFonts w:ascii="Century Gothic" w:hAnsi="Century Gothic" w:cs="Arial"/>
        </w:rPr>
        <w:t>.</w:t>
      </w:r>
    </w:p>
    <w:p w14:paraId="3D8E2A60" w14:textId="77777777" w:rsidR="009174E5" w:rsidRPr="000F6874" w:rsidRDefault="009174E5" w:rsidP="009174E5">
      <w:pPr>
        <w:pStyle w:val="Prrafodelista"/>
        <w:rPr>
          <w:rFonts w:ascii="Century Gothic" w:hAnsi="Century Gothic" w:cs="Arial"/>
        </w:rPr>
      </w:pPr>
    </w:p>
    <w:p w14:paraId="5E26DE10" w14:textId="77777777" w:rsidR="009174E5" w:rsidRPr="000F6874" w:rsidRDefault="007D0FA8" w:rsidP="007D0FA8">
      <w:pPr>
        <w:pStyle w:val="Prrafodelista"/>
        <w:numPr>
          <w:ilvl w:val="0"/>
          <w:numId w:val="6"/>
        </w:numPr>
        <w:spacing w:line="360" w:lineRule="auto"/>
        <w:jc w:val="both"/>
        <w:rPr>
          <w:rFonts w:ascii="Century Gothic" w:hAnsi="Century Gothic" w:cs="Arial"/>
        </w:rPr>
      </w:pPr>
      <w:r w:rsidRPr="000F6874">
        <w:rPr>
          <w:rFonts w:ascii="Century Gothic" w:hAnsi="Century Gothic" w:cs="Arial"/>
        </w:rPr>
        <w:t xml:space="preserve">La Unidad de Transparencia ha participado activamente en el programa de "Ciudades Educadoras" trabajando los principios de "Acceso a la información" y "Gobernanza y participación ciudadana", para lo cual, se realizó un mapeo interno y una propuesta de promoción de la cultura de transparencia hacía la ciudadanía. En ese contexto, se celebró el 30 de noviembre el día de las Ciudades Educadoras, la Unidad en coordinación con la Contraloría Ciudadana realizó un evento en una escuela primaria donde se abordó el tema de acceso a la información y su utilidad para prevenir, denunciar o erradicar la corrupción. </w:t>
      </w:r>
    </w:p>
    <w:p w14:paraId="0D78A6EB" w14:textId="77777777" w:rsidR="000F6874" w:rsidRPr="000F6874" w:rsidRDefault="000F6874" w:rsidP="000F6874">
      <w:pPr>
        <w:spacing w:line="360" w:lineRule="auto"/>
        <w:jc w:val="both"/>
        <w:rPr>
          <w:rFonts w:ascii="Century Gothic" w:hAnsi="Century Gothic" w:cs="Arial"/>
        </w:rPr>
      </w:pPr>
    </w:p>
    <w:p w14:paraId="7216F4DB" w14:textId="20CAAA97" w:rsidR="000F6874" w:rsidRPr="000F6874" w:rsidRDefault="007D0FA8" w:rsidP="000F6874">
      <w:pPr>
        <w:pStyle w:val="Prrafodelista"/>
        <w:numPr>
          <w:ilvl w:val="0"/>
          <w:numId w:val="6"/>
        </w:numPr>
        <w:spacing w:line="360" w:lineRule="auto"/>
        <w:jc w:val="both"/>
        <w:rPr>
          <w:rFonts w:ascii="Century Gothic" w:hAnsi="Century Gothic" w:cs="Arial"/>
        </w:rPr>
      </w:pPr>
      <w:r w:rsidRPr="000F6874">
        <w:rPr>
          <w:rFonts w:ascii="Century Gothic" w:hAnsi="Century Gothic" w:cs="Arial"/>
        </w:rPr>
        <w:t xml:space="preserve">Aunado a lo anterior, para mejorar la calidad en la atención a las solicitudes de información se tomó capacitación en el Taller de </w:t>
      </w:r>
      <w:r w:rsidR="00C0412F">
        <w:rPr>
          <w:rFonts w:ascii="Century Gothic" w:hAnsi="Century Gothic" w:cs="Arial"/>
        </w:rPr>
        <w:t>P</w:t>
      </w:r>
      <w:r w:rsidRPr="000F6874">
        <w:rPr>
          <w:rFonts w:ascii="Century Gothic" w:hAnsi="Century Gothic" w:cs="Arial"/>
        </w:rPr>
        <w:t xml:space="preserve">erspectiva de </w:t>
      </w:r>
      <w:r w:rsidR="00C0412F">
        <w:rPr>
          <w:rFonts w:ascii="Century Gothic" w:hAnsi="Century Gothic" w:cs="Arial"/>
        </w:rPr>
        <w:t>G</w:t>
      </w:r>
      <w:r w:rsidRPr="000F6874">
        <w:rPr>
          <w:rFonts w:ascii="Century Gothic" w:hAnsi="Century Gothic" w:cs="Arial"/>
        </w:rPr>
        <w:t>énero y el Diplomado en Transparencia y Protección de Datos Personales del Instituto de Transparencia, Información Pública y Protección de Datos Personales del Estado de Jalisco (I</w:t>
      </w:r>
      <w:r w:rsidR="00297C4B">
        <w:rPr>
          <w:rFonts w:ascii="Century Gothic" w:hAnsi="Century Gothic" w:cs="Arial"/>
        </w:rPr>
        <w:t>TEI</w:t>
      </w:r>
      <w:r w:rsidRPr="000F6874">
        <w:rPr>
          <w:rFonts w:ascii="Century Gothic" w:hAnsi="Century Gothic" w:cs="Arial"/>
        </w:rPr>
        <w:t>).</w:t>
      </w:r>
    </w:p>
    <w:p w14:paraId="556120AA" w14:textId="0A2EF8FF" w:rsidR="000F6874" w:rsidRPr="000F6874" w:rsidRDefault="000F6874" w:rsidP="000F6874">
      <w:pPr>
        <w:pStyle w:val="Prrafodelista"/>
        <w:spacing w:line="360" w:lineRule="auto"/>
        <w:jc w:val="both"/>
        <w:rPr>
          <w:rFonts w:ascii="Century Gothic" w:hAnsi="Century Gothic" w:cs="Arial"/>
        </w:rPr>
      </w:pPr>
    </w:p>
    <w:p w14:paraId="4712FCF1" w14:textId="77777777" w:rsidR="000F6874" w:rsidRPr="000F6874" w:rsidRDefault="000F6874" w:rsidP="000F6874">
      <w:pPr>
        <w:pStyle w:val="Prrafodelista"/>
        <w:spacing w:line="360" w:lineRule="auto"/>
        <w:jc w:val="both"/>
        <w:rPr>
          <w:rFonts w:ascii="Century Gothic" w:hAnsi="Century Gothic" w:cs="Arial"/>
        </w:rPr>
      </w:pPr>
    </w:p>
    <w:p w14:paraId="5F67E76A" w14:textId="69F18D95" w:rsidR="000F6874" w:rsidRPr="000F6874" w:rsidRDefault="00D37664" w:rsidP="000F6874">
      <w:pPr>
        <w:pStyle w:val="Prrafodelista"/>
        <w:numPr>
          <w:ilvl w:val="0"/>
          <w:numId w:val="6"/>
        </w:numPr>
        <w:spacing w:line="360" w:lineRule="auto"/>
        <w:jc w:val="both"/>
        <w:rPr>
          <w:rFonts w:ascii="Century Gothic" w:hAnsi="Century Gothic" w:cs="Arial"/>
        </w:rPr>
      </w:pPr>
      <w:r w:rsidRPr="000F6874">
        <w:rPr>
          <w:rFonts w:ascii="Century Gothic" w:hAnsi="Century Gothic" w:cs="Arial"/>
        </w:rPr>
        <w:t>Para el cumplimiento de la publicación de información fundamental en el Portal de Transparencia Municipal y del Sistema de Portal de Obligaciones (SIPOT) de la Plataforma Nacional de Transparencia se actualiz</w:t>
      </w:r>
      <w:r w:rsidR="00C0412F">
        <w:rPr>
          <w:rFonts w:ascii="Century Gothic" w:hAnsi="Century Gothic" w:cs="Arial"/>
        </w:rPr>
        <w:t>ó</w:t>
      </w:r>
      <w:r w:rsidRPr="000F6874">
        <w:rPr>
          <w:rFonts w:ascii="Century Gothic" w:hAnsi="Century Gothic" w:cs="Arial"/>
        </w:rPr>
        <w:t xml:space="preserve"> la información fundamental de las unidades administrativas del Gobierno Municipal de los meses de septiembre, octubre y noviembre, así como también, se actualizó  la información correspondiente a los micrositios del Colectivo CIMTRA “Transparencia municipal” y “COVID-19”, este último, es un micrositio que culmina con su actualización, toda vez que la pandemia ha concluido y no se ha generado información nueva, motivo por el cual, se determinó finalizarlo y dejarlo como parte del Archivo digital del Gobierno Municipal. </w:t>
      </w:r>
    </w:p>
    <w:p w14:paraId="171C610B" w14:textId="77777777" w:rsidR="000F6874" w:rsidRPr="000F6874" w:rsidRDefault="000F6874" w:rsidP="000F6874">
      <w:pPr>
        <w:spacing w:line="360" w:lineRule="auto"/>
        <w:ind w:left="360"/>
        <w:jc w:val="both"/>
        <w:rPr>
          <w:rFonts w:ascii="Century Gothic" w:hAnsi="Century Gothic" w:cs="Arial"/>
          <w:sz w:val="22"/>
          <w:szCs w:val="22"/>
        </w:rPr>
      </w:pPr>
    </w:p>
    <w:p w14:paraId="6A8E9D79" w14:textId="4DC4EF47" w:rsidR="000F6874" w:rsidRPr="000F6874" w:rsidRDefault="00D37664" w:rsidP="002411AD">
      <w:pPr>
        <w:pStyle w:val="Prrafodelista"/>
        <w:numPr>
          <w:ilvl w:val="0"/>
          <w:numId w:val="6"/>
        </w:numPr>
        <w:spacing w:line="360" w:lineRule="auto"/>
        <w:jc w:val="both"/>
        <w:rPr>
          <w:rFonts w:ascii="Century Gothic" w:hAnsi="Century Gothic" w:cs="Arial"/>
        </w:rPr>
      </w:pPr>
      <w:r w:rsidRPr="000F6874">
        <w:rPr>
          <w:rFonts w:ascii="Century Gothic" w:hAnsi="Century Gothic" w:cs="Arial"/>
        </w:rPr>
        <w:t xml:space="preserve">Se representó al Municipio en el "Congreso Nacional de Transparencia y Rendición de Cuentas" organizado por el </w:t>
      </w:r>
      <w:r w:rsidR="009174E5" w:rsidRPr="000F6874">
        <w:rPr>
          <w:rFonts w:ascii="Century Gothic" w:hAnsi="Century Gothic" w:cs="Arial"/>
        </w:rPr>
        <w:t>Instituto de</w:t>
      </w:r>
      <w:r w:rsidRPr="000F6874">
        <w:rPr>
          <w:rFonts w:ascii="Century Gothic" w:hAnsi="Century Gothic" w:cs="Arial"/>
        </w:rPr>
        <w:t xml:space="preserve"> Investigación en Rendición de Cuentas y Combate a la Corrupción del Centro Universitario de Ciencias Económico Administrativas de la Universidad de Guadalajara.</w:t>
      </w:r>
    </w:p>
    <w:p w14:paraId="29DAE661" w14:textId="77777777" w:rsidR="000F6874" w:rsidRPr="000F6874" w:rsidRDefault="000F6874" w:rsidP="000F6874">
      <w:pPr>
        <w:pStyle w:val="Prrafodelista"/>
        <w:spacing w:line="360" w:lineRule="auto"/>
        <w:jc w:val="both"/>
        <w:rPr>
          <w:rFonts w:ascii="Century Gothic" w:hAnsi="Century Gothic" w:cs="Arial"/>
        </w:rPr>
      </w:pPr>
    </w:p>
    <w:p w14:paraId="6E9ABD3D" w14:textId="427DF685" w:rsidR="002411AD" w:rsidRPr="000F6874" w:rsidRDefault="00C0412F" w:rsidP="002411AD">
      <w:pPr>
        <w:pStyle w:val="Prrafodelista"/>
        <w:numPr>
          <w:ilvl w:val="0"/>
          <w:numId w:val="6"/>
        </w:numPr>
        <w:spacing w:line="360" w:lineRule="auto"/>
        <w:jc w:val="both"/>
        <w:rPr>
          <w:rFonts w:ascii="Century Gothic" w:hAnsi="Century Gothic" w:cs="Arial"/>
        </w:rPr>
      </w:pPr>
      <w:r>
        <w:rPr>
          <w:rFonts w:ascii="Century Gothic" w:hAnsi="Century Gothic" w:cs="Arial"/>
        </w:rPr>
        <w:lastRenderedPageBreak/>
        <w:t>S</w:t>
      </w:r>
      <w:r w:rsidR="002411AD" w:rsidRPr="000F6874">
        <w:rPr>
          <w:rFonts w:ascii="Century Gothic" w:hAnsi="Century Gothic" w:cs="Arial"/>
        </w:rPr>
        <w:t xml:space="preserve">e </w:t>
      </w:r>
      <w:r w:rsidR="009174E5" w:rsidRPr="000F6874">
        <w:rPr>
          <w:rFonts w:ascii="Century Gothic" w:hAnsi="Century Gothic" w:cs="Arial"/>
        </w:rPr>
        <w:t>capacit</w:t>
      </w:r>
      <w:r>
        <w:rPr>
          <w:rFonts w:ascii="Century Gothic" w:hAnsi="Century Gothic" w:cs="Arial"/>
        </w:rPr>
        <w:t>ó</w:t>
      </w:r>
      <w:r w:rsidR="009174E5" w:rsidRPr="000F6874">
        <w:rPr>
          <w:rFonts w:ascii="Century Gothic" w:hAnsi="Century Gothic" w:cs="Arial"/>
        </w:rPr>
        <w:t xml:space="preserve"> de manera personalizada a 10</w:t>
      </w:r>
      <w:r w:rsidR="002411AD" w:rsidRPr="000F6874">
        <w:rPr>
          <w:rFonts w:ascii="Century Gothic" w:hAnsi="Century Gothic" w:cs="Arial"/>
        </w:rPr>
        <w:t xml:space="preserve"> enlaces de transparencia en el uso y funcionamiento del SIPOT.</w:t>
      </w:r>
    </w:p>
    <w:p w14:paraId="42CB93A2" w14:textId="3C59203A" w:rsidR="00222442" w:rsidRPr="000F6874" w:rsidRDefault="00222442" w:rsidP="00222442">
      <w:pPr>
        <w:spacing w:line="360" w:lineRule="auto"/>
        <w:jc w:val="both"/>
        <w:rPr>
          <w:rFonts w:ascii="Century Gothic" w:hAnsi="Century Gothic" w:cs="Arial"/>
          <w:b/>
          <w:bCs/>
          <w:sz w:val="22"/>
          <w:szCs w:val="22"/>
        </w:rPr>
      </w:pPr>
    </w:p>
    <w:p w14:paraId="5C07248C" w14:textId="77777777" w:rsidR="002411AD" w:rsidRPr="000F6874" w:rsidRDefault="002411AD" w:rsidP="002411AD">
      <w:pPr>
        <w:spacing w:line="360" w:lineRule="auto"/>
        <w:jc w:val="both"/>
        <w:rPr>
          <w:rFonts w:ascii="Century Gothic" w:hAnsi="Century Gothic" w:cs="Arial"/>
          <w:sz w:val="22"/>
          <w:szCs w:val="22"/>
        </w:rPr>
      </w:pPr>
      <w:bookmarkStart w:id="1" w:name="_Hlk115781480"/>
      <w:r w:rsidRPr="000F6874">
        <w:rPr>
          <w:rFonts w:ascii="Century Gothic" w:hAnsi="Century Gothic" w:cs="Arial"/>
          <w:sz w:val="22"/>
          <w:szCs w:val="22"/>
        </w:rPr>
        <w:t>Así, continuamos trabajando por un municipio transparente y accesible, brindando atención eficaz, veraz y oportuna para nuestra ciudadanía, trabajando en todo momento, Unidos por la Ciudad que Queremos</w:t>
      </w:r>
      <w:bookmarkEnd w:id="1"/>
      <w:r w:rsidRPr="000F6874">
        <w:rPr>
          <w:rFonts w:ascii="Century Gothic" w:hAnsi="Century Gothic" w:cs="Arial"/>
          <w:sz w:val="22"/>
          <w:szCs w:val="22"/>
        </w:rPr>
        <w:t>.</w:t>
      </w:r>
    </w:p>
    <w:p w14:paraId="07906047" w14:textId="77777777" w:rsidR="002411AD" w:rsidRPr="000F6874" w:rsidRDefault="002411AD" w:rsidP="002411AD">
      <w:pPr>
        <w:spacing w:line="360" w:lineRule="auto"/>
        <w:jc w:val="both"/>
        <w:rPr>
          <w:rFonts w:ascii="Century Gothic" w:hAnsi="Century Gothic" w:cs="Arial"/>
          <w:sz w:val="22"/>
          <w:szCs w:val="22"/>
        </w:rPr>
      </w:pPr>
    </w:p>
    <w:p w14:paraId="48CA4BA6" w14:textId="5F1B079D" w:rsidR="002411AD" w:rsidRPr="000F6874" w:rsidRDefault="002411AD" w:rsidP="002411AD">
      <w:pPr>
        <w:spacing w:line="360" w:lineRule="auto"/>
        <w:jc w:val="center"/>
        <w:rPr>
          <w:rFonts w:ascii="Century Gothic" w:hAnsi="Century Gothic" w:cs="Arial"/>
          <w:sz w:val="22"/>
          <w:szCs w:val="22"/>
        </w:rPr>
      </w:pPr>
      <w:r w:rsidRPr="000F6874">
        <w:rPr>
          <w:rFonts w:ascii="Century Gothic" w:hAnsi="Century Gothic" w:cs="Arial"/>
          <w:sz w:val="22"/>
          <w:szCs w:val="22"/>
        </w:rPr>
        <w:t xml:space="preserve">San Pedro Tlaquepaque, a </w:t>
      </w:r>
      <w:r w:rsidR="00C0412F">
        <w:rPr>
          <w:rFonts w:ascii="Century Gothic" w:hAnsi="Century Gothic" w:cs="Arial"/>
          <w:sz w:val="22"/>
          <w:szCs w:val="22"/>
        </w:rPr>
        <w:t>1</w:t>
      </w:r>
      <w:r w:rsidR="009174E5" w:rsidRPr="000F6874">
        <w:rPr>
          <w:rFonts w:ascii="Century Gothic" w:hAnsi="Century Gothic" w:cs="Arial"/>
          <w:sz w:val="22"/>
          <w:szCs w:val="22"/>
        </w:rPr>
        <w:t xml:space="preserve">0 </w:t>
      </w:r>
      <w:r w:rsidRPr="000F6874">
        <w:rPr>
          <w:rFonts w:ascii="Century Gothic" w:hAnsi="Century Gothic" w:cs="Arial"/>
          <w:sz w:val="22"/>
          <w:szCs w:val="22"/>
        </w:rPr>
        <w:t xml:space="preserve">de </w:t>
      </w:r>
      <w:r w:rsidR="009174E5" w:rsidRPr="000F6874">
        <w:rPr>
          <w:rFonts w:ascii="Century Gothic" w:hAnsi="Century Gothic" w:cs="Arial"/>
          <w:sz w:val="22"/>
          <w:szCs w:val="22"/>
        </w:rPr>
        <w:t>enero</w:t>
      </w:r>
      <w:r w:rsidRPr="000F6874">
        <w:rPr>
          <w:rFonts w:ascii="Century Gothic" w:hAnsi="Century Gothic" w:cs="Arial"/>
          <w:sz w:val="22"/>
          <w:szCs w:val="22"/>
        </w:rPr>
        <w:t xml:space="preserve"> del 202</w:t>
      </w:r>
      <w:r w:rsidR="009174E5" w:rsidRPr="000F6874">
        <w:rPr>
          <w:rFonts w:ascii="Century Gothic" w:hAnsi="Century Gothic" w:cs="Arial"/>
          <w:sz w:val="22"/>
          <w:szCs w:val="22"/>
        </w:rPr>
        <w:t>3</w:t>
      </w:r>
    </w:p>
    <w:p w14:paraId="13C50091" w14:textId="77777777" w:rsidR="002411AD" w:rsidRPr="000F6874" w:rsidRDefault="002411AD" w:rsidP="002411AD">
      <w:pPr>
        <w:spacing w:line="360" w:lineRule="auto"/>
        <w:jc w:val="center"/>
        <w:rPr>
          <w:rFonts w:ascii="Century Gothic" w:hAnsi="Century Gothic" w:cs="Arial"/>
          <w:b/>
          <w:bCs/>
          <w:sz w:val="22"/>
          <w:szCs w:val="22"/>
        </w:rPr>
      </w:pPr>
      <w:r w:rsidRPr="000F6874">
        <w:rPr>
          <w:rFonts w:ascii="Century Gothic" w:hAnsi="Century Gothic" w:cs="Arial"/>
          <w:b/>
          <w:bCs/>
          <w:sz w:val="22"/>
          <w:szCs w:val="22"/>
        </w:rPr>
        <w:t>“2022, AÑO DE LA ATENCIÓN INTEGRAL A NIÑAS, NIÑOS Y ADOLESCENTES CON CÁNCER EN JALISCO”</w:t>
      </w:r>
    </w:p>
    <w:p w14:paraId="08426F1B" w14:textId="77777777" w:rsidR="002411AD" w:rsidRPr="000F6874" w:rsidRDefault="002411AD" w:rsidP="002411AD">
      <w:pPr>
        <w:spacing w:line="360" w:lineRule="auto"/>
        <w:jc w:val="both"/>
        <w:rPr>
          <w:rFonts w:ascii="Century Gothic" w:hAnsi="Century Gothic" w:cs="Arial"/>
          <w:sz w:val="22"/>
          <w:szCs w:val="22"/>
        </w:rPr>
      </w:pPr>
      <w:r w:rsidRPr="000F6874">
        <w:rPr>
          <w:rFonts w:ascii="Century Gothic" w:hAnsi="Century Gothic" w:cs="Arial"/>
          <w:sz w:val="22"/>
          <w:szCs w:val="22"/>
        </w:rPr>
        <w:t xml:space="preserve"> </w:t>
      </w:r>
    </w:p>
    <w:p w14:paraId="77AD0565" w14:textId="714C8162" w:rsidR="002411AD" w:rsidRPr="000F6874" w:rsidRDefault="002411AD" w:rsidP="002411AD">
      <w:pPr>
        <w:spacing w:line="360" w:lineRule="auto"/>
        <w:jc w:val="both"/>
        <w:rPr>
          <w:rFonts w:ascii="Century Gothic" w:hAnsi="Century Gothic" w:cs="Arial"/>
          <w:sz w:val="22"/>
          <w:szCs w:val="22"/>
        </w:rPr>
      </w:pPr>
    </w:p>
    <w:p w14:paraId="1F0C8683" w14:textId="77777777" w:rsidR="00A36FF9" w:rsidRPr="000F6874" w:rsidRDefault="00A36FF9" w:rsidP="002411AD">
      <w:pPr>
        <w:spacing w:line="360" w:lineRule="auto"/>
        <w:jc w:val="both"/>
        <w:rPr>
          <w:rFonts w:ascii="Century Gothic" w:hAnsi="Century Gothic" w:cs="Arial"/>
          <w:sz w:val="22"/>
          <w:szCs w:val="22"/>
        </w:rPr>
      </w:pPr>
    </w:p>
    <w:p w14:paraId="43B4E26F" w14:textId="77777777" w:rsidR="002411AD" w:rsidRPr="000F6874" w:rsidRDefault="002411AD" w:rsidP="00A36FF9">
      <w:pPr>
        <w:spacing w:line="360" w:lineRule="auto"/>
        <w:jc w:val="center"/>
        <w:rPr>
          <w:rFonts w:ascii="Century Gothic" w:hAnsi="Century Gothic" w:cs="Arial"/>
          <w:sz w:val="22"/>
          <w:szCs w:val="22"/>
        </w:rPr>
      </w:pPr>
    </w:p>
    <w:p w14:paraId="0D5FA826" w14:textId="77777777" w:rsidR="002411AD" w:rsidRPr="000F6874" w:rsidRDefault="002411AD" w:rsidP="002411AD">
      <w:pPr>
        <w:spacing w:line="360" w:lineRule="auto"/>
        <w:jc w:val="center"/>
        <w:rPr>
          <w:rFonts w:ascii="Century Gothic" w:hAnsi="Century Gothic" w:cs="Arial"/>
          <w:b/>
          <w:bCs/>
          <w:sz w:val="22"/>
          <w:szCs w:val="22"/>
        </w:rPr>
      </w:pPr>
      <w:r w:rsidRPr="000F6874">
        <w:rPr>
          <w:rFonts w:ascii="Century Gothic" w:hAnsi="Century Gothic" w:cs="Arial"/>
          <w:b/>
          <w:bCs/>
          <w:sz w:val="22"/>
          <w:szCs w:val="22"/>
        </w:rPr>
        <w:t>César Ignacio Bocanegra Alvarado</w:t>
      </w:r>
    </w:p>
    <w:p w14:paraId="29C27BE5" w14:textId="77777777" w:rsidR="002411AD" w:rsidRPr="000F6874" w:rsidRDefault="002411AD" w:rsidP="002411AD">
      <w:pPr>
        <w:spacing w:line="360" w:lineRule="auto"/>
        <w:jc w:val="center"/>
        <w:rPr>
          <w:rFonts w:ascii="Century Gothic" w:hAnsi="Century Gothic" w:cs="Arial"/>
          <w:b/>
          <w:bCs/>
          <w:sz w:val="22"/>
          <w:szCs w:val="22"/>
        </w:rPr>
      </w:pPr>
      <w:r w:rsidRPr="000F6874">
        <w:rPr>
          <w:rFonts w:ascii="Century Gothic" w:hAnsi="Century Gothic" w:cs="Arial"/>
          <w:b/>
          <w:bCs/>
          <w:sz w:val="22"/>
          <w:szCs w:val="22"/>
        </w:rPr>
        <w:t>Dirección de la Unidad de Transparencia.</w:t>
      </w:r>
    </w:p>
    <w:p w14:paraId="01D2B58D" w14:textId="0FE84488" w:rsidR="0023664B" w:rsidRDefault="0023664B">
      <w:pPr>
        <w:rPr>
          <w:rFonts w:ascii="Arial" w:hAnsi="Arial" w:cs="Arial"/>
        </w:rPr>
      </w:pPr>
    </w:p>
    <w:sectPr w:rsidR="0023664B" w:rsidSect="005D13E6">
      <w:headerReference w:type="default" r:id="rId9"/>
      <w:footerReference w:type="default" r:id="rId10"/>
      <w:pgSz w:w="12240" w:h="20160" w:code="5"/>
      <w:pgMar w:top="2693" w:right="1701" w:bottom="2410" w:left="1701" w:header="709" w:footer="1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8821" w14:textId="77777777" w:rsidR="008C6257" w:rsidRDefault="008C6257" w:rsidP="00B067DC">
      <w:r>
        <w:separator/>
      </w:r>
    </w:p>
  </w:endnote>
  <w:endnote w:type="continuationSeparator" w:id="0">
    <w:p w14:paraId="5B406C5F" w14:textId="77777777" w:rsidR="008C6257" w:rsidRDefault="008C6257"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85992"/>
      <w:docPartObj>
        <w:docPartGallery w:val="Page Numbers (Bottom of Page)"/>
        <w:docPartUnique/>
      </w:docPartObj>
    </w:sdtPr>
    <w:sdtEndPr/>
    <w:sdtContent>
      <w:p w14:paraId="1BC1163A" w14:textId="59D50F2E" w:rsidR="00FE1F04" w:rsidRDefault="00FE1F04">
        <w:pPr>
          <w:pStyle w:val="Piedepgina"/>
          <w:jc w:val="right"/>
        </w:pPr>
        <w:r>
          <w:fldChar w:fldCharType="begin"/>
        </w:r>
        <w:r>
          <w:instrText>PAGE   \* MERGEFORMAT</w:instrText>
        </w:r>
        <w:r>
          <w:fldChar w:fldCharType="separate"/>
        </w:r>
        <w:r>
          <w:rPr>
            <w:lang w:val="es-ES"/>
          </w:rPr>
          <w:t>2</w:t>
        </w:r>
        <w:r>
          <w:fldChar w:fldCharType="end"/>
        </w:r>
      </w:p>
    </w:sdtContent>
  </w:sdt>
  <w:p w14:paraId="4929FC50" w14:textId="77777777" w:rsidR="00FE1F04" w:rsidRDefault="00FE1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A824" w14:textId="77777777" w:rsidR="008C6257" w:rsidRDefault="008C6257" w:rsidP="00B067DC">
      <w:r>
        <w:separator/>
      </w:r>
    </w:p>
  </w:footnote>
  <w:footnote w:type="continuationSeparator" w:id="0">
    <w:p w14:paraId="7BBDD893" w14:textId="77777777" w:rsidR="008C6257" w:rsidRDefault="008C6257" w:rsidP="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BBD" w14:textId="77777777" w:rsidR="00B067DC" w:rsidRDefault="00B067DC">
    <w:pPr>
      <w:pStyle w:val="Encabezado"/>
    </w:pPr>
    <w:r>
      <w:rPr>
        <w:noProof/>
      </w:rPr>
      <w:drawing>
        <wp:anchor distT="0" distB="0" distL="114300" distR="114300" simplePos="0" relativeHeight="251658240" behindDoc="1" locked="0" layoutInCell="1" allowOverlap="1" wp14:anchorId="3E05BB5C" wp14:editId="7CF18346">
          <wp:simplePos x="0" y="0"/>
          <wp:positionH relativeFrom="column">
            <wp:posOffset>-1080135</wp:posOffset>
          </wp:positionH>
          <wp:positionV relativeFrom="paragraph">
            <wp:posOffset>-450214</wp:posOffset>
          </wp:positionV>
          <wp:extent cx="7778689" cy="12239995"/>
          <wp:effectExtent l="0" t="0" r="0" b="317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2239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A7E"/>
    <w:multiLevelType w:val="hybridMultilevel"/>
    <w:tmpl w:val="95B269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927CB4"/>
    <w:multiLevelType w:val="hybridMultilevel"/>
    <w:tmpl w:val="77D0D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938A6"/>
    <w:multiLevelType w:val="hybridMultilevel"/>
    <w:tmpl w:val="EEEC7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5D4A5C"/>
    <w:multiLevelType w:val="hybridMultilevel"/>
    <w:tmpl w:val="B378B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7719F1"/>
    <w:multiLevelType w:val="hybridMultilevel"/>
    <w:tmpl w:val="23607D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53157E"/>
    <w:multiLevelType w:val="hybridMultilevel"/>
    <w:tmpl w:val="9D16D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DC"/>
    <w:rsid w:val="00005E0A"/>
    <w:rsid w:val="000276B8"/>
    <w:rsid w:val="00031030"/>
    <w:rsid w:val="000450C3"/>
    <w:rsid w:val="00060A0F"/>
    <w:rsid w:val="000963D0"/>
    <w:rsid w:val="000B4F00"/>
    <w:rsid w:val="000E5E8B"/>
    <w:rsid w:val="000F6874"/>
    <w:rsid w:val="001137BD"/>
    <w:rsid w:val="00154595"/>
    <w:rsid w:val="00182D8F"/>
    <w:rsid w:val="00196677"/>
    <w:rsid w:val="001A1857"/>
    <w:rsid w:val="001A275B"/>
    <w:rsid w:val="00216776"/>
    <w:rsid w:val="00222442"/>
    <w:rsid w:val="00227D45"/>
    <w:rsid w:val="00234292"/>
    <w:rsid w:val="0023664B"/>
    <w:rsid w:val="00237BFD"/>
    <w:rsid w:val="0024015B"/>
    <w:rsid w:val="002411AD"/>
    <w:rsid w:val="002514FF"/>
    <w:rsid w:val="00261821"/>
    <w:rsid w:val="00272674"/>
    <w:rsid w:val="00292F6B"/>
    <w:rsid w:val="00297C4B"/>
    <w:rsid w:val="002A609C"/>
    <w:rsid w:val="002B2106"/>
    <w:rsid w:val="002B5EFA"/>
    <w:rsid w:val="00306640"/>
    <w:rsid w:val="00351F59"/>
    <w:rsid w:val="003750B7"/>
    <w:rsid w:val="003B5971"/>
    <w:rsid w:val="003E1913"/>
    <w:rsid w:val="004025E8"/>
    <w:rsid w:val="0042159B"/>
    <w:rsid w:val="004B5E50"/>
    <w:rsid w:val="004E182F"/>
    <w:rsid w:val="004F6D6F"/>
    <w:rsid w:val="00525433"/>
    <w:rsid w:val="00542133"/>
    <w:rsid w:val="0055652B"/>
    <w:rsid w:val="00576895"/>
    <w:rsid w:val="005937AD"/>
    <w:rsid w:val="005B2A5D"/>
    <w:rsid w:val="005B491A"/>
    <w:rsid w:val="005D13E6"/>
    <w:rsid w:val="005D4CD7"/>
    <w:rsid w:val="005E08D8"/>
    <w:rsid w:val="005E0FA9"/>
    <w:rsid w:val="005E7DA7"/>
    <w:rsid w:val="005F2B03"/>
    <w:rsid w:val="005F69C1"/>
    <w:rsid w:val="00647561"/>
    <w:rsid w:val="006652A2"/>
    <w:rsid w:val="00666CD9"/>
    <w:rsid w:val="00667292"/>
    <w:rsid w:val="006933F8"/>
    <w:rsid w:val="006944D8"/>
    <w:rsid w:val="006A6352"/>
    <w:rsid w:val="006D1F73"/>
    <w:rsid w:val="00703C79"/>
    <w:rsid w:val="007D0FA8"/>
    <w:rsid w:val="007F5595"/>
    <w:rsid w:val="00803243"/>
    <w:rsid w:val="00812AE3"/>
    <w:rsid w:val="00814F59"/>
    <w:rsid w:val="00845509"/>
    <w:rsid w:val="008716A4"/>
    <w:rsid w:val="0089514E"/>
    <w:rsid w:val="008B1B2A"/>
    <w:rsid w:val="008C6257"/>
    <w:rsid w:val="009174E5"/>
    <w:rsid w:val="00923301"/>
    <w:rsid w:val="00960F0E"/>
    <w:rsid w:val="00971252"/>
    <w:rsid w:val="00990D2B"/>
    <w:rsid w:val="009C6EDC"/>
    <w:rsid w:val="009C7A73"/>
    <w:rsid w:val="009E4F19"/>
    <w:rsid w:val="00A02183"/>
    <w:rsid w:val="00A106C0"/>
    <w:rsid w:val="00A12A02"/>
    <w:rsid w:val="00A15FF2"/>
    <w:rsid w:val="00A36FF9"/>
    <w:rsid w:val="00A537C2"/>
    <w:rsid w:val="00A844A3"/>
    <w:rsid w:val="00A849AC"/>
    <w:rsid w:val="00A86C5E"/>
    <w:rsid w:val="00AD047D"/>
    <w:rsid w:val="00AE5B4C"/>
    <w:rsid w:val="00AF1328"/>
    <w:rsid w:val="00B067DC"/>
    <w:rsid w:val="00B406A7"/>
    <w:rsid w:val="00B70875"/>
    <w:rsid w:val="00B82DEB"/>
    <w:rsid w:val="00B86166"/>
    <w:rsid w:val="00B934A4"/>
    <w:rsid w:val="00BE07B5"/>
    <w:rsid w:val="00C0412F"/>
    <w:rsid w:val="00C405DA"/>
    <w:rsid w:val="00C454C4"/>
    <w:rsid w:val="00C46674"/>
    <w:rsid w:val="00C70D5E"/>
    <w:rsid w:val="00C754C8"/>
    <w:rsid w:val="00C83EF8"/>
    <w:rsid w:val="00C92E2B"/>
    <w:rsid w:val="00C97635"/>
    <w:rsid w:val="00CA0C3F"/>
    <w:rsid w:val="00CD7BD1"/>
    <w:rsid w:val="00D30188"/>
    <w:rsid w:val="00D334FB"/>
    <w:rsid w:val="00D37664"/>
    <w:rsid w:val="00D63D12"/>
    <w:rsid w:val="00DA1219"/>
    <w:rsid w:val="00E21236"/>
    <w:rsid w:val="00E94AAC"/>
    <w:rsid w:val="00EA1CF9"/>
    <w:rsid w:val="00EC1172"/>
    <w:rsid w:val="00EF627F"/>
    <w:rsid w:val="00F2534E"/>
    <w:rsid w:val="00F54B1B"/>
    <w:rsid w:val="00F654B9"/>
    <w:rsid w:val="00F74EB2"/>
    <w:rsid w:val="00FA5EFC"/>
    <w:rsid w:val="00FA5FE9"/>
    <w:rsid w:val="00FC3A2A"/>
    <w:rsid w:val="00FC4BD5"/>
    <w:rsid w:val="00FE1F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2080"/>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paragraph" w:styleId="Prrafodelista">
    <w:name w:val="List Paragraph"/>
    <w:basedOn w:val="Normal"/>
    <w:uiPriority w:val="34"/>
    <w:qFormat/>
    <w:rsid w:val="005D4CD7"/>
    <w:pPr>
      <w:spacing w:after="160" w:line="259" w:lineRule="auto"/>
      <w:ind w:left="720"/>
      <w:contextualSpacing/>
    </w:pPr>
    <w:rPr>
      <w:sz w:val="22"/>
      <w:szCs w:val="22"/>
      <w:lang w:val="es-ES"/>
    </w:rPr>
  </w:style>
  <w:style w:type="table" w:styleId="Tablaconcuadrcula">
    <w:name w:val="Table Grid"/>
    <w:basedOn w:val="Tablanormal"/>
    <w:uiPriority w:val="39"/>
    <w:rsid w:val="005D4CD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276B8"/>
    <w:rPr>
      <w:sz w:val="20"/>
      <w:szCs w:val="20"/>
    </w:rPr>
  </w:style>
  <w:style w:type="character" w:customStyle="1" w:styleId="TextonotapieCar">
    <w:name w:val="Texto nota pie Car"/>
    <w:basedOn w:val="Fuentedeprrafopredeter"/>
    <w:link w:val="Textonotapie"/>
    <w:uiPriority w:val="99"/>
    <w:semiHidden/>
    <w:rsid w:val="000276B8"/>
    <w:rPr>
      <w:sz w:val="20"/>
      <w:szCs w:val="20"/>
    </w:rPr>
  </w:style>
  <w:style w:type="character" w:styleId="Refdenotaalpie">
    <w:name w:val="footnote reference"/>
    <w:basedOn w:val="Fuentedeprrafopredeter"/>
    <w:uiPriority w:val="99"/>
    <w:semiHidden/>
    <w:unhideWhenUsed/>
    <w:rsid w:val="000276B8"/>
    <w:rPr>
      <w:vertAlign w:val="superscript"/>
    </w:rPr>
  </w:style>
  <w:style w:type="character" w:styleId="Hipervnculo">
    <w:name w:val="Hyperlink"/>
    <w:basedOn w:val="Fuentedeprrafopredeter"/>
    <w:uiPriority w:val="99"/>
    <w:unhideWhenUsed/>
    <w:rsid w:val="00FA5EFC"/>
    <w:rPr>
      <w:color w:val="0563C1" w:themeColor="hyperlink"/>
      <w:u w:val="single"/>
    </w:rPr>
  </w:style>
  <w:style w:type="character" w:styleId="Mencinsinresolver">
    <w:name w:val="Unresolved Mention"/>
    <w:basedOn w:val="Fuentedeprrafopredeter"/>
    <w:uiPriority w:val="99"/>
    <w:semiHidden/>
    <w:unhideWhenUsed/>
    <w:rsid w:val="00FA5EFC"/>
    <w:rPr>
      <w:color w:val="605E5C"/>
      <w:shd w:val="clear" w:color="auto" w:fill="E1DFDD"/>
    </w:rPr>
  </w:style>
  <w:style w:type="table" w:styleId="Tablanormal2">
    <w:name w:val="Plain Table 2"/>
    <w:basedOn w:val="Tablanormal"/>
    <w:uiPriority w:val="42"/>
    <w:rsid w:val="00A36F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7584">
      <w:bodyDiv w:val="1"/>
      <w:marLeft w:val="0"/>
      <w:marRight w:val="0"/>
      <w:marTop w:val="0"/>
      <w:marBottom w:val="0"/>
      <w:divBdr>
        <w:top w:val="none" w:sz="0" w:space="0" w:color="auto"/>
        <w:left w:val="none" w:sz="0" w:space="0" w:color="auto"/>
        <w:bottom w:val="none" w:sz="0" w:space="0" w:color="auto"/>
        <w:right w:val="none" w:sz="0" w:space="0" w:color="auto"/>
      </w:divBdr>
    </w:div>
    <w:div w:id="1050686017">
      <w:bodyDiv w:val="1"/>
      <w:marLeft w:val="0"/>
      <w:marRight w:val="0"/>
      <w:marTop w:val="0"/>
      <w:marBottom w:val="0"/>
      <w:divBdr>
        <w:top w:val="none" w:sz="0" w:space="0" w:color="auto"/>
        <w:left w:val="none" w:sz="0" w:space="0" w:color="auto"/>
        <w:bottom w:val="none" w:sz="0" w:space="0" w:color="auto"/>
        <w:right w:val="none" w:sz="0" w:space="0" w:color="auto"/>
      </w:divBdr>
    </w:div>
    <w:div w:id="1622682747">
      <w:bodyDiv w:val="1"/>
      <w:marLeft w:val="0"/>
      <w:marRight w:val="0"/>
      <w:marTop w:val="0"/>
      <w:marBottom w:val="0"/>
      <w:divBdr>
        <w:top w:val="none" w:sz="0" w:space="0" w:color="auto"/>
        <w:left w:val="none" w:sz="0" w:space="0" w:color="auto"/>
        <w:bottom w:val="none" w:sz="0" w:space="0" w:color="auto"/>
        <w:right w:val="none" w:sz="0" w:space="0" w:color="auto"/>
      </w:divBdr>
      <w:divsChild>
        <w:div w:id="1143036443">
          <w:marLeft w:val="0"/>
          <w:marRight w:val="0"/>
          <w:marTop w:val="0"/>
          <w:marBottom w:val="0"/>
          <w:divBdr>
            <w:top w:val="none" w:sz="0" w:space="0" w:color="auto"/>
            <w:left w:val="none" w:sz="0" w:space="0" w:color="auto"/>
            <w:bottom w:val="none" w:sz="0" w:space="0" w:color="auto"/>
            <w:right w:val="none" w:sz="0" w:space="0" w:color="auto"/>
          </w:divBdr>
        </w:div>
      </w:divsChild>
    </w:div>
    <w:div w:id="1924488033">
      <w:bodyDiv w:val="1"/>
      <w:marLeft w:val="0"/>
      <w:marRight w:val="0"/>
      <w:marTop w:val="0"/>
      <w:marBottom w:val="0"/>
      <w:divBdr>
        <w:top w:val="none" w:sz="0" w:space="0" w:color="auto"/>
        <w:left w:val="none" w:sz="0" w:space="0" w:color="auto"/>
        <w:bottom w:val="none" w:sz="0" w:space="0" w:color="auto"/>
        <w:right w:val="none" w:sz="0" w:space="0" w:color="auto"/>
      </w:divBdr>
    </w:div>
    <w:div w:id="2005892266">
      <w:bodyDiv w:val="1"/>
      <w:marLeft w:val="0"/>
      <w:marRight w:val="0"/>
      <w:marTop w:val="0"/>
      <w:marBottom w:val="0"/>
      <w:divBdr>
        <w:top w:val="none" w:sz="0" w:space="0" w:color="auto"/>
        <w:left w:val="none" w:sz="0" w:space="0" w:color="auto"/>
        <w:bottom w:val="none" w:sz="0" w:space="0" w:color="auto"/>
        <w:right w:val="none" w:sz="0" w:space="0" w:color="auto"/>
      </w:divBdr>
      <w:divsChild>
        <w:div w:id="150820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Octubre</c:v>
                </c:pt>
              </c:strCache>
            </c:strRef>
          </c:tx>
          <c:spPr>
            <a:solidFill>
              <a:schemeClr val="accent1"/>
            </a:solidFill>
            <a:ln>
              <a:noFill/>
            </a:ln>
            <a:effectLst/>
          </c:spPr>
          <c:invertIfNegative val="0"/>
          <c:cat>
            <c:strRef>
              <c:f>Hoja1!$A$2:$A$4</c:f>
              <c:strCache>
                <c:ptCount val="3"/>
                <c:pt idx="0">
                  <c:v>PNT</c:v>
                </c:pt>
                <c:pt idx="1">
                  <c:v>PRESENCIAL</c:v>
                </c:pt>
                <c:pt idx="2">
                  <c:v>CORREO ELECTRÓNICO</c:v>
                </c:pt>
              </c:strCache>
            </c:strRef>
          </c:cat>
          <c:val>
            <c:numRef>
              <c:f>Hoja1!$B$2:$B$4</c:f>
              <c:numCache>
                <c:formatCode>General</c:formatCode>
                <c:ptCount val="3"/>
                <c:pt idx="0">
                  <c:v>47</c:v>
                </c:pt>
                <c:pt idx="1">
                  <c:v>14</c:v>
                </c:pt>
                <c:pt idx="2">
                  <c:v>18</c:v>
                </c:pt>
              </c:numCache>
            </c:numRef>
          </c:val>
          <c:extLst>
            <c:ext xmlns:c16="http://schemas.microsoft.com/office/drawing/2014/chart" uri="{C3380CC4-5D6E-409C-BE32-E72D297353CC}">
              <c16:uniqueId val="{00000000-B047-42DF-8479-3DBB6DF9B03B}"/>
            </c:ext>
          </c:extLst>
        </c:ser>
        <c:ser>
          <c:idx val="1"/>
          <c:order val="1"/>
          <c:tx>
            <c:strRef>
              <c:f>Hoja1!$C$1</c:f>
              <c:strCache>
                <c:ptCount val="1"/>
                <c:pt idx="0">
                  <c:v>Noviembre</c:v>
                </c:pt>
              </c:strCache>
            </c:strRef>
          </c:tx>
          <c:spPr>
            <a:solidFill>
              <a:schemeClr val="accent2"/>
            </a:solidFill>
            <a:ln>
              <a:noFill/>
            </a:ln>
            <a:effectLst/>
          </c:spPr>
          <c:invertIfNegative val="0"/>
          <c:cat>
            <c:strRef>
              <c:f>Hoja1!$A$2:$A$4</c:f>
              <c:strCache>
                <c:ptCount val="3"/>
                <c:pt idx="0">
                  <c:v>PNT</c:v>
                </c:pt>
                <c:pt idx="1">
                  <c:v>PRESENCIAL</c:v>
                </c:pt>
                <c:pt idx="2">
                  <c:v>CORREO ELECTRÓNICO</c:v>
                </c:pt>
              </c:strCache>
            </c:strRef>
          </c:cat>
          <c:val>
            <c:numRef>
              <c:f>Hoja1!$C$2:$C$4</c:f>
              <c:numCache>
                <c:formatCode>General</c:formatCode>
                <c:ptCount val="3"/>
                <c:pt idx="0">
                  <c:v>141</c:v>
                </c:pt>
                <c:pt idx="1">
                  <c:v>20</c:v>
                </c:pt>
                <c:pt idx="2">
                  <c:v>54</c:v>
                </c:pt>
              </c:numCache>
            </c:numRef>
          </c:val>
          <c:extLst>
            <c:ext xmlns:c16="http://schemas.microsoft.com/office/drawing/2014/chart" uri="{C3380CC4-5D6E-409C-BE32-E72D297353CC}">
              <c16:uniqueId val="{00000001-B047-42DF-8479-3DBB6DF9B03B}"/>
            </c:ext>
          </c:extLst>
        </c:ser>
        <c:ser>
          <c:idx val="2"/>
          <c:order val="2"/>
          <c:tx>
            <c:strRef>
              <c:f>Hoja1!$D$1</c:f>
              <c:strCache>
                <c:ptCount val="1"/>
                <c:pt idx="0">
                  <c:v>Diciembre</c:v>
                </c:pt>
              </c:strCache>
            </c:strRef>
          </c:tx>
          <c:spPr>
            <a:solidFill>
              <a:schemeClr val="accent3"/>
            </a:solidFill>
            <a:ln>
              <a:noFill/>
            </a:ln>
            <a:effectLst/>
          </c:spPr>
          <c:invertIfNegative val="0"/>
          <c:cat>
            <c:strRef>
              <c:f>Hoja1!$A$2:$A$4</c:f>
              <c:strCache>
                <c:ptCount val="3"/>
                <c:pt idx="0">
                  <c:v>PNT</c:v>
                </c:pt>
                <c:pt idx="1">
                  <c:v>PRESENCIAL</c:v>
                </c:pt>
                <c:pt idx="2">
                  <c:v>CORREO ELECTRÓNICO</c:v>
                </c:pt>
              </c:strCache>
            </c:strRef>
          </c:cat>
          <c:val>
            <c:numRef>
              <c:f>Hoja1!$D$2:$D$4</c:f>
              <c:numCache>
                <c:formatCode>General</c:formatCode>
                <c:ptCount val="3"/>
                <c:pt idx="0">
                  <c:v>70</c:v>
                </c:pt>
                <c:pt idx="1">
                  <c:v>26</c:v>
                </c:pt>
                <c:pt idx="2">
                  <c:v>28</c:v>
                </c:pt>
              </c:numCache>
            </c:numRef>
          </c:val>
          <c:extLst>
            <c:ext xmlns:c16="http://schemas.microsoft.com/office/drawing/2014/chart" uri="{C3380CC4-5D6E-409C-BE32-E72D297353CC}">
              <c16:uniqueId val="{00000002-B047-42DF-8479-3DBB6DF9B03B}"/>
            </c:ext>
          </c:extLst>
        </c:ser>
        <c:dLbls>
          <c:showLegendKey val="0"/>
          <c:showVal val="0"/>
          <c:showCatName val="0"/>
          <c:showSerName val="0"/>
          <c:showPercent val="0"/>
          <c:showBubbleSize val="0"/>
        </c:dLbls>
        <c:gapWidth val="219"/>
        <c:overlap val="-27"/>
        <c:axId val="238462688"/>
        <c:axId val="238486816"/>
      </c:barChart>
      <c:catAx>
        <c:axId val="23846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8486816"/>
        <c:crosses val="autoZero"/>
        <c:auto val="1"/>
        <c:lblAlgn val="ctr"/>
        <c:lblOffset val="100"/>
        <c:noMultiLvlLbl val="0"/>
      </c:catAx>
      <c:valAx>
        <c:axId val="23848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846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C170-E6E1-46A1-9902-D2C3843C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3</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UNIDAD DE TRANSPARENCIA</cp:lastModifiedBy>
  <cp:revision>13</cp:revision>
  <cp:lastPrinted>2023-01-10T15:58:00Z</cp:lastPrinted>
  <dcterms:created xsi:type="dcterms:W3CDTF">2022-09-27T19:31:00Z</dcterms:created>
  <dcterms:modified xsi:type="dcterms:W3CDTF">2023-01-10T16:12:00Z</dcterms:modified>
</cp:coreProperties>
</file>