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739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2552"/>
        <w:gridCol w:w="2551"/>
        <w:gridCol w:w="2552"/>
        <w:gridCol w:w="2551"/>
        <w:gridCol w:w="2552"/>
        <w:gridCol w:w="2126"/>
      </w:tblGrid>
      <w:tr>
        <w:trPr>
          <w:trHeight w:val="85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DOMINGO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LUNES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MARTES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MIERCOLES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JUEVES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VIERNES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SABADO</w:t>
            </w:r>
          </w:p>
        </w:tc>
      </w:tr>
      <w:tr>
        <w:trPr>
          <w:trHeight w:val="80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Glosa Hacendaria.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3</w:t>
            </w:r>
          </w:p>
        </w:tc>
      </w:tr>
      <w:tr>
        <w:trPr>
          <w:trHeight w:val="97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revisión a la Obra pública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para checar avances de Auditoria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y personal de Glosa Hacendaria 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10</w:t>
            </w:r>
          </w:p>
        </w:tc>
      </w:tr>
      <w:tr>
        <w:trPr>
          <w:trHeight w:val="987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para checar pendientes de Auditoria.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y Personal que presenta información de Cuenta Pública.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referente a la Auditoria del IMSS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15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17</w:t>
            </w:r>
          </w:p>
        </w:tc>
      </w:tr>
      <w:tr>
        <w:trPr>
          <w:trHeight w:val="832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para checar pendientes de auditoria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y personal de Glosa Hacendaria 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con Ingresos, Egresos para ver Situación Financiera.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24</w:t>
            </w:r>
          </w:p>
        </w:tc>
      </w:tr>
      <w:tr>
        <w:trPr>
          <w:trHeight w:val="983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Tesorería, Ingresos, Egresos para solventar observaciones de Auditoria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y Personal que presenta información de Cuenta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Pública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para checar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el cierre de auditoria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</w:tr>
      <w:tr>
        <w:trPr>
          <w:trHeight w:val="128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sectPr>
      <w:headerReference w:type="default" r:id="rId7"/>
      <w:pgSz w:w="20160" w:h="12240" w:orient="landscape" w:code="5"/>
      <w:pgMar w:top="851" w:right="737" w:bottom="2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spacing w:after="0" w:line="240" w:lineRule="auto"/>
      <w:rPr>
        <w:rFonts w:ascii="Arial Black" w:eastAsia="Times New Roman" w:hAnsi="Arial Black" w:cs="Arial"/>
        <w:sz w:val="72"/>
        <w:szCs w:val="72"/>
        <w:lang w:eastAsia="es-MX"/>
      </w:rPr>
    </w:pPr>
    <w:r>
      <w:rPr>
        <w:rFonts w:ascii="Arial Black" w:eastAsia="Times New Roman" w:hAnsi="Arial Black" w:cs="Arial"/>
        <w:noProof/>
        <w:sz w:val="72"/>
        <w:szCs w:val="72"/>
        <w:lang w:eastAsia="es-MX"/>
      </w:rPr>
      <w:drawing>
        <wp:inline distT="0" distB="0" distL="0" distR="0">
          <wp:extent cx="990600" cy="1066800"/>
          <wp:effectExtent l="19050" t="0" r="0" b="0"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Encabezad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>MES SEPTIEMBRE DE 2022</w:t>
    </w:r>
  </w:p>
  <w:p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DIRECCION DE CONTABILIDAD Y GLOSA HACENDARIA </w:t>
    </w:r>
  </w:p>
  <w:p>
    <w:pPr>
      <w:pStyle w:val="Encabezado"/>
      <w:jc w:val="center"/>
    </w:pPr>
  </w:p>
  <w:p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82E49E1-58E9-4FF9-9863-0F3C53AE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75AFB-5049-488A-BB73-AC86AC0C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tania.neri</dc:creator>
  <cp:lastModifiedBy>DIRECCION DE CONTABILIDAD Y GLOSA</cp:lastModifiedBy>
  <cp:revision>2</cp:revision>
  <cp:lastPrinted>2017-10-05T18:25:00Z</cp:lastPrinted>
  <dcterms:created xsi:type="dcterms:W3CDTF">2022-10-04T19:05:00Z</dcterms:created>
  <dcterms:modified xsi:type="dcterms:W3CDTF">2022-10-04T19:05:00Z</dcterms:modified>
</cp:coreProperties>
</file>