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5DD" w:rsidRDefault="00D42565" w:rsidP="007005DD">
      <w:pPr>
        <w:pStyle w:val="Encabezado"/>
        <w:tabs>
          <w:tab w:val="left" w:pos="5900"/>
        </w:tabs>
        <w:jc w:val="right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7005DD" w:rsidRPr="00286240" w:rsidRDefault="007005DD" w:rsidP="007005DD">
      <w:pPr>
        <w:pStyle w:val="Encabezado"/>
        <w:tabs>
          <w:tab w:val="left" w:pos="5900"/>
        </w:tabs>
        <w:rPr>
          <w:noProof/>
          <w:sz w:val="18"/>
          <w:szCs w:val="18"/>
          <w:lang w:eastAsia="es-MX"/>
        </w:rPr>
      </w:pPr>
    </w:p>
    <w:p w:rsidR="00286240" w:rsidRDefault="00286240" w:rsidP="007005DD">
      <w:pPr>
        <w:pStyle w:val="Encabezado"/>
        <w:tabs>
          <w:tab w:val="left" w:pos="5900"/>
        </w:tabs>
        <w:jc w:val="right"/>
        <w:rPr>
          <w:rFonts w:ascii="Century Gothic" w:hAnsi="Century Gothic"/>
          <w:noProof/>
          <w:sz w:val="18"/>
          <w:szCs w:val="18"/>
          <w:lang w:eastAsia="es-MX"/>
        </w:rPr>
      </w:pPr>
    </w:p>
    <w:p w:rsidR="00286240" w:rsidRDefault="00286240" w:rsidP="007005DD">
      <w:pPr>
        <w:pStyle w:val="Encabezado"/>
        <w:tabs>
          <w:tab w:val="left" w:pos="5900"/>
        </w:tabs>
        <w:jc w:val="right"/>
        <w:rPr>
          <w:rFonts w:ascii="Century Gothic" w:hAnsi="Century Gothic"/>
          <w:noProof/>
          <w:sz w:val="18"/>
          <w:szCs w:val="18"/>
          <w:lang w:eastAsia="es-MX"/>
        </w:rPr>
      </w:pPr>
    </w:p>
    <w:p w:rsidR="007005DD" w:rsidRPr="00286240" w:rsidRDefault="007005DD" w:rsidP="007005DD">
      <w:pPr>
        <w:pStyle w:val="Encabezado"/>
        <w:tabs>
          <w:tab w:val="left" w:pos="5900"/>
        </w:tabs>
        <w:jc w:val="right"/>
        <w:rPr>
          <w:rFonts w:ascii="Century Gothic" w:hAnsi="Century Gothic"/>
          <w:sz w:val="18"/>
          <w:szCs w:val="18"/>
        </w:rPr>
      </w:pPr>
      <w:r w:rsidRPr="00286240">
        <w:rPr>
          <w:rFonts w:ascii="Century Gothic" w:hAnsi="Century Gothic"/>
          <w:noProof/>
          <w:sz w:val="18"/>
          <w:szCs w:val="18"/>
          <w:lang w:eastAsia="es-MX"/>
        </w:rPr>
        <w:t>Unidad de Analisis e Informacion</w:t>
      </w:r>
      <w:bookmarkStart w:id="0" w:name="_GoBack"/>
      <w:bookmarkEnd w:id="0"/>
    </w:p>
    <w:p w:rsidR="007005DD" w:rsidRPr="00286240" w:rsidRDefault="007005DD" w:rsidP="007005DD">
      <w:pPr>
        <w:jc w:val="right"/>
        <w:rPr>
          <w:rFonts w:ascii="Century Gothic" w:hAnsi="Century Gothic" w:cs="Arial"/>
          <w:color w:val="000000"/>
          <w:sz w:val="18"/>
          <w:szCs w:val="18"/>
        </w:rPr>
      </w:pPr>
      <w:r w:rsidRPr="00286240">
        <w:rPr>
          <w:rFonts w:ascii="Century Gothic" w:hAnsi="Century Gothic" w:cs="Arial"/>
          <w:color w:val="000000"/>
          <w:sz w:val="18"/>
          <w:szCs w:val="18"/>
        </w:rPr>
        <w:t xml:space="preserve">Oficio número: </w:t>
      </w:r>
      <w:r w:rsidR="00C347CF">
        <w:rPr>
          <w:rFonts w:ascii="Century Gothic" w:hAnsi="Century Gothic" w:cs="Arial"/>
          <w:color w:val="000000"/>
          <w:sz w:val="18"/>
          <w:szCs w:val="18"/>
        </w:rPr>
        <w:t>367</w:t>
      </w:r>
      <w:r w:rsidR="002E7A07" w:rsidRPr="00286240">
        <w:rPr>
          <w:rFonts w:ascii="Century Gothic" w:hAnsi="Century Gothic" w:cs="Arial"/>
          <w:color w:val="000000"/>
          <w:sz w:val="18"/>
          <w:szCs w:val="18"/>
        </w:rPr>
        <w:t>/2022</w:t>
      </w:r>
    </w:p>
    <w:p w:rsidR="007005DD" w:rsidRPr="00286240" w:rsidRDefault="007005DD" w:rsidP="007005DD">
      <w:pPr>
        <w:spacing w:after="0"/>
        <w:jc w:val="right"/>
        <w:rPr>
          <w:rFonts w:ascii="Century Gothic" w:hAnsi="Century Gothic" w:cs="Arial"/>
          <w:color w:val="000000"/>
          <w:sz w:val="18"/>
          <w:szCs w:val="18"/>
        </w:rPr>
      </w:pPr>
      <w:r w:rsidRPr="00286240">
        <w:rPr>
          <w:rFonts w:ascii="Century Gothic" w:hAnsi="Century Gothic" w:cs="Arial"/>
          <w:color w:val="000000"/>
          <w:sz w:val="18"/>
          <w:szCs w:val="18"/>
        </w:rPr>
        <w:t>Asunto: se remite información</w:t>
      </w:r>
    </w:p>
    <w:p w:rsidR="007005DD" w:rsidRPr="00286240" w:rsidRDefault="007005DD" w:rsidP="007005DD">
      <w:pPr>
        <w:spacing w:after="0"/>
        <w:jc w:val="right"/>
        <w:rPr>
          <w:rFonts w:ascii="Century Gothic" w:hAnsi="Century Gothic" w:cs="Arial"/>
          <w:color w:val="000000"/>
          <w:sz w:val="18"/>
          <w:szCs w:val="18"/>
        </w:rPr>
      </w:pPr>
      <w:r w:rsidRPr="00286240">
        <w:rPr>
          <w:rFonts w:ascii="Century Gothic" w:hAnsi="Century Gothic" w:cs="Arial"/>
          <w:color w:val="000000"/>
          <w:sz w:val="18"/>
          <w:szCs w:val="18"/>
        </w:rPr>
        <w:t>Referencia: S/R</w:t>
      </w:r>
    </w:p>
    <w:p w:rsidR="00424B3B" w:rsidRPr="00286240" w:rsidRDefault="00F958E1" w:rsidP="007005DD">
      <w:pPr>
        <w:spacing w:after="0"/>
        <w:jc w:val="right"/>
        <w:rPr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</w:rPr>
        <w:t>San Pedro Tlaquepaque, Jal. a 02</w:t>
      </w:r>
      <w:r w:rsidR="007005DD" w:rsidRPr="00286240">
        <w:rPr>
          <w:rFonts w:ascii="Century Gothic" w:hAnsi="Century Gothic" w:cs="Arial"/>
          <w:color w:val="000000"/>
          <w:sz w:val="18"/>
          <w:szCs w:val="18"/>
        </w:rPr>
        <w:t xml:space="preserve"> de</w:t>
      </w:r>
      <w:r>
        <w:rPr>
          <w:rFonts w:ascii="Century Gothic" w:hAnsi="Century Gothic" w:cs="Arial"/>
          <w:color w:val="000000"/>
          <w:sz w:val="18"/>
          <w:szCs w:val="18"/>
        </w:rPr>
        <w:t xml:space="preserve"> mayo</w:t>
      </w:r>
      <w:r w:rsidR="002E7A07" w:rsidRPr="00286240">
        <w:rPr>
          <w:rFonts w:ascii="Century Gothic" w:hAnsi="Century Gothic" w:cs="Arial"/>
          <w:color w:val="000000"/>
          <w:sz w:val="18"/>
          <w:szCs w:val="18"/>
        </w:rPr>
        <w:t xml:space="preserve"> del 2022</w:t>
      </w:r>
    </w:p>
    <w:p w:rsidR="000746A2" w:rsidRDefault="000746A2"/>
    <w:p w:rsidR="00713534" w:rsidRDefault="00713534" w:rsidP="00713534">
      <w:pPr>
        <w:spacing w:after="0"/>
        <w:rPr>
          <w:rFonts w:ascii="Arial" w:hAnsi="Arial" w:cs="Arial"/>
          <w:b/>
          <w:sz w:val="20"/>
          <w:szCs w:val="20"/>
        </w:rPr>
      </w:pPr>
    </w:p>
    <w:p w:rsidR="00713534" w:rsidRDefault="00713534" w:rsidP="00713534">
      <w:pPr>
        <w:spacing w:after="0"/>
        <w:rPr>
          <w:rFonts w:ascii="Arial" w:hAnsi="Arial" w:cs="Arial"/>
          <w:b/>
          <w:sz w:val="20"/>
          <w:szCs w:val="20"/>
        </w:rPr>
      </w:pPr>
    </w:p>
    <w:p w:rsidR="00713534" w:rsidRDefault="00713534" w:rsidP="00713534">
      <w:pPr>
        <w:spacing w:after="0"/>
        <w:rPr>
          <w:rFonts w:ascii="Arial" w:hAnsi="Arial" w:cs="Arial"/>
          <w:b/>
          <w:sz w:val="20"/>
          <w:szCs w:val="20"/>
        </w:rPr>
      </w:pPr>
    </w:p>
    <w:p w:rsidR="00713534" w:rsidRDefault="00713534" w:rsidP="0071353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LIC. JORGE ALBERTO BARBA RODRIGUEZ</w:t>
      </w:r>
    </w:p>
    <w:p w:rsidR="00713534" w:rsidRPr="00875DC2" w:rsidRDefault="00713534" w:rsidP="0071353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DIRECTOR JURIDICO Y DE DERECHOS HUMANOS</w:t>
      </w:r>
    </w:p>
    <w:p w:rsidR="00713534" w:rsidRDefault="00713534" w:rsidP="00713534">
      <w:pPr>
        <w:rPr>
          <w:rFonts w:ascii="Arial" w:hAnsi="Arial" w:cs="Arial"/>
          <w:noProof/>
          <w:sz w:val="16"/>
          <w:szCs w:val="16"/>
        </w:rPr>
      </w:pPr>
      <w:r w:rsidRPr="00875DC2">
        <w:rPr>
          <w:rFonts w:ascii="Arial" w:hAnsi="Arial" w:cs="Arial"/>
          <w:b/>
          <w:sz w:val="20"/>
          <w:szCs w:val="20"/>
        </w:rPr>
        <w:t>P R E S E N T E.</w:t>
      </w:r>
    </w:p>
    <w:p w:rsidR="00713534" w:rsidRPr="00713534" w:rsidRDefault="00713534" w:rsidP="00713534">
      <w:pPr>
        <w:rPr>
          <w:rFonts w:ascii="Arial" w:hAnsi="Arial" w:cs="Arial"/>
          <w:noProof/>
          <w:sz w:val="16"/>
          <w:szCs w:val="16"/>
        </w:rPr>
      </w:pPr>
    </w:p>
    <w:p w:rsidR="00713534" w:rsidRPr="00713534" w:rsidRDefault="00713534" w:rsidP="00713534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         </w:t>
      </w:r>
      <w:r w:rsidR="00597273">
        <w:rPr>
          <w:rFonts w:ascii="Arial" w:hAnsi="Arial" w:cs="Arial"/>
          <w:color w:val="000000"/>
        </w:rPr>
        <w:t xml:space="preserve">  </w:t>
      </w:r>
      <w:r w:rsidRPr="00605023">
        <w:rPr>
          <w:rFonts w:ascii="Arial" w:hAnsi="Arial" w:cs="Arial"/>
          <w:color w:val="000000"/>
        </w:rPr>
        <w:t>Con el presente me es grato dirigirme a usted enviándole un cordial salu</w:t>
      </w:r>
      <w:r>
        <w:rPr>
          <w:rFonts w:ascii="Arial" w:hAnsi="Arial" w:cs="Arial"/>
          <w:color w:val="000000"/>
        </w:rPr>
        <w:t>do, y a la vez para hacer de su</w:t>
      </w:r>
      <w:r w:rsidRPr="00605023">
        <w:rPr>
          <w:rFonts w:ascii="Arial" w:hAnsi="Arial" w:cs="Arial"/>
          <w:color w:val="000000"/>
          <w:u w:val="single"/>
        </w:rPr>
        <w:t xml:space="preserve"> conocimiento</w:t>
      </w:r>
      <w:r w:rsidRPr="00605023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</w:rPr>
        <w:t>l</w:t>
      </w:r>
      <w:r w:rsidRPr="00605023">
        <w:rPr>
          <w:rFonts w:ascii="Arial" w:hAnsi="Arial" w:cs="Arial"/>
        </w:rPr>
        <w:t>a Unidad de Análisis Municipal tiene como responsabilidad las siguientes funciones, Asegurar la integración y funcionamiento del Sistema Único de Información Criminal-SUIC, así como garantizar el cumplimiento de los procedimientos de trab</w:t>
      </w:r>
      <w:r>
        <w:rPr>
          <w:rFonts w:ascii="Arial" w:hAnsi="Arial" w:cs="Arial"/>
        </w:rPr>
        <w:t>ajo, en la captura del Informe Policial H</w:t>
      </w:r>
      <w:r w:rsidRPr="00605023">
        <w:rPr>
          <w:rFonts w:ascii="Arial" w:hAnsi="Arial" w:cs="Arial"/>
        </w:rPr>
        <w:t>omologado, así mismo hago de superior conocimiento el total de consulta y captura siste</w:t>
      </w:r>
      <w:r>
        <w:rPr>
          <w:rFonts w:ascii="Arial" w:hAnsi="Arial" w:cs="Arial"/>
        </w:rPr>
        <w:t>matizada en los aplicativos de P</w:t>
      </w:r>
      <w:r w:rsidRPr="00605023">
        <w:rPr>
          <w:rFonts w:ascii="Arial" w:hAnsi="Arial" w:cs="Arial"/>
        </w:rPr>
        <w:t>lataforma México del periodo</w:t>
      </w:r>
      <w:r w:rsidR="008D2449">
        <w:rPr>
          <w:rFonts w:ascii="Arial" w:hAnsi="Arial" w:cs="Arial"/>
        </w:rPr>
        <w:t xml:space="preserve"> comprendido abril</w:t>
      </w:r>
      <w:r>
        <w:rPr>
          <w:rFonts w:ascii="Arial" w:hAnsi="Arial" w:cs="Arial"/>
        </w:rPr>
        <w:t xml:space="preserve"> - 2022</w:t>
      </w:r>
    </w:p>
    <w:p w:rsidR="00713534" w:rsidRDefault="00713534" w:rsidP="00713534">
      <w:pPr>
        <w:spacing w:line="276" w:lineRule="auto"/>
        <w:rPr>
          <w:rFonts w:ascii="Arial" w:hAnsi="Arial" w:cs="Arial"/>
          <w:color w:val="000000"/>
          <w:sz w:val="20"/>
          <w:szCs w:val="20"/>
          <w:lang w:val="it-IT"/>
        </w:rPr>
      </w:pPr>
    </w:p>
    <w:p w:rsidR="00713534" w:rsidRPr="00515CFB" w:rsidRDefault="00713534" w:rsidP="00713534">
      <w:pPr>
        <w:spacing w:line="276" w:lineRule="auto"/>
        <w:rPr>
          <w:rFonts w:ascii="Arial" w:hAnsi="Arial" w:cs="Arial"/>
          <w:color w:val="000000"/>
          <w:lang w:val="it-IT"/>
        </w:rPr>
      </w:pPr>
      <w:r>
        <w:rPr>
          <w:rFonts w:ascii="Arial" w:hAnsi="Arial" w:cs="Arial"/>
          <w:color w:val="000000"/>
          <w:lang w:val="it-IT"/>
        </w:rPr>
        <w:t xml:space="preserve">                </w:t>
      </w:r>
      <w:r w:rsidRPr="00515CFB">
        <w:rPr>
          <w:rFonts w:ascii="Arial" w:hAnsi="Arial" w:cs="Arial"/>
          <w:color w:val="000000"/>
          <w:lang w:val="it-IT"/>
        </w:rPr>
        <w:t>Sin mas por el momento reciba un cordial saludo y quedando a sus ordenes para cualquier aclaraciòn al respecto.</w:t>
      </w:r>
    </w:p>
    <w:p w:rsidR="00713534" w:rsidRPr="00515CFB" w:rsidRDefault="00713534" w:rsidP="00713534">
      <w:pPr>
        <w:spacing w:line="276" w:lineRule="auto"/>
        <w:rPr>
          <w:rFonts w:ascii="Arial" w:hAnsi="Arial" w:cs="Arial"/>
          <w:b/>
          <w:color w:val="000000"/>
          <w:lang w:val="it-IT"/>
        </w:rPr>
      </w:pPr>
    </w:p>
    <w:p w:rsidR="00713534" w:rsidRDefault="00713534" w:rsidP="00713534">
      <w:pPr>
        <w:jc w:val="center"/>
        <w:rPr>
          <w:rFonts w:ascii="Arial" w:hAnsi="Arial" w:cs="Arial"/>
          <w:b/>
          <w:color w:val="000000"/>
          <w:lang w:val="it-IT"/>
        </w:rPr>
      </w:pPr>
    </w:p>
    <w:p w:rsidR="00713534" w:rsidRPr="00843303" w:rsidRDefault="00713534" w:rsidP="00713534">
      <w:pPr>
        <w:jc w:val="center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:rsidR="00713534" w:rsidRDefault="00713534" w:rsidP="00713534">
      <w:pPr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  <w:r w:rsidRPr="003B51B1">
        <w:rPr>
          <w:rFonts w:ascii="Arial" w:hAnsi="Arial" w:cs="Arial"/>
          <w:b/>
          <w:color w:val="000000"/>
          <w:sz w:val="20"/>
          <w:szCs w:val="20"/>
          <w:lang w:val="it-IT"/>
        </w:rPr>
        <w:t>A  T  E  N  T  A  M  E  N  T  E.</w:t>
      </w:r>
    </w:p>
    <w:p w:rsidR="00713534" w:rsidRPr="003B51B1" w:rsidRDefault="00713534" w:rsidP="00713534">
      <w:pPr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:rsidR="00713534" w:rsidRPr="003B51B1" w:rsidRDefault="00713534" w:rsidP="00713534">
      <w:pPr>
        <w:spacing w:after="0"/>
        <w:jc w:val="both"/>
        <w:rPr>
          <w:rFonts w:ascii="Arial" w:hAnsi="Arial" w:cs="Arial"/>
          <w:b/>
          <w:color w:val="000000"/>
          <w:sz w:val="20"/>
          <w:szCs w:val="20"/>
          <w:lang w:val="it-IT"/>
        </w:rPr>
      </w:pPr>
    </w:p>
    <w:p w:rsidR="00713534" w:rsidRDefault="00713534" w:rsidP="0071353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B51B1">
        <w:rPr>
          <w:rFonts w:ascii="Arial" w:hAnsi="Arial" w:cs="Arial"/>
          <w:b/>
          <w:sz w:val="20"/>
          <w:szCs w:val="20"/>
        </w:rPr>
        <w:t>C. CRISTIAN ALONSO HERNÁNDEZ GONZÁLEZ</w:t>
      </w:r>
    </w:p>
    <w:p w:rsidR="00713534" w:rsidRPr="00713534" w:rsidRDefault="00713534" w:rsidP="0071353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B51B1">
        <w:rPr>
          <w:rFonts w:ascii="Arial" w:hAnsi="Arial" w:cs="Arial"/>
          <w:b/>
          <w:color w:val="000000"/>
          <w:sz w:val="20"/>
          <w:szCs w:val="20"/>
          <w:lang w:val="it-IT"/>
        </w:rPr>
        <w:t xml:space="preserve">SUB DIRECTOR TECNICO Y DE PLANEACION ESTRATEGICA </w:t>
      </w:r>
    </w:p>
    <w:p w:rsidR="00713534" w:rsidRDefault="00713534" w:rsidP="00713534">
      <w:pPr>
        <w:rPr>
          <w:rFonts w:ascii="Arial" w:hAnsi="Arial" w:cs="Arial"/>
          <w:sz w:val="12"/>
          <w:szCs w:val="12"/>
          <w:lang w:val="it-IT"/>
        </w:rPr>
      </w:pPr>
    </w:p>
    <w:p w:rsidR="00713534" w:rsidRDefault="00713534" w:rsidP="00713534">
      <w:pPr>
        <w:rPr>
          <w:rFonts w:ascii="Arial" w:hAnsi="Arial" w:cs="Arial"/>
          <w:sz w:val="12"/>
          <w:szCs w:val="12"/>
          <w:lang w:val="it-IT"/>
        </w:rPr>
      </w:pPr>
    </w:p>
    <w:p w:rsidR="00713534" w:rsidRDefault="00713534" w:rsidP="00713534">
      <w:pPr>
        <w:rPr>
          <w:rFonts w:ascii="Arial" w:hAnsi="Arial" w:cs="Arial"/>
          <w:sz w:val="12"/>
          <w:szCs w:val="12"/>
          <w:lang w:val="it-IT"/>
        </w:rPr>
      </w:pPr>
    </w:p>
    <w:p w:rsidR="00713534" w:rsidRDefault="00713534" w:rsidP="00713534">
      <w:pPr>
        <w:rPr>
          <w:rFonts w:ascii="Arial" w:hAnsi="Arial" w:cs="Arial"/>
          <w:sz w:val="12"/>
          <w:szCs w:val="12"/>
          <w:lang w:val="it-IT"/>
        </w:rPr>
      </w:pPr>
    </w:p>
    <w:p w:rsidR="006F0677" w:rsidRDefault="006F0677" w:rsidP="00713534">
      <w:pPr>
        <w:rPr>
          <w:rFonts w:ascii="Arial" w:hAnsi="Arial" w:cs="Arial"/>
          <w:sz w:val="12"/>
          <w:szCs w:val="12"/>
          <w:lang w:val="it-IT"/>
        </w:rPr>
      </w:pPr>
    </w:p>
    <w:p w:rsidR="006F0677" w:rsidRDefault="006F0677" w:rsidP="00713534">
      <w:pPr>
        <w:rPr>
          <w:rFonts w:ascii="Arial" w:hAnsi="Arial" w:cs="Arial"/>
          <w:sz w:val="12"/>
          <w:szCs w:val="12"/>
          <w:lang w:val="it-IT"/>
        </w:rPr>
      </w:pPr>
    </w:p>
    <w:p w:rsidR="006F0677" w:rsidRDefault="006F0677" w:rsidP="00713534">
      <w:pPr>
        <w:rPr>
          <w:rFonts w:ascii="Arial" w:hAnsi="Arial" w:cs="Arial"/>
          <w:sz w:val="12"/>
          <w:szCs w:val="12"/>
          <w:lang w:val="it-IT"/>
        </w:rPr>
      </w:pPr>
    </w:p>
    <w:p w:rsidR="006F0677" w:rsidRDefault="006F0677" w:rsidP="00713534">
      <w:pPr>
        <w:rPr>
          <w:rFonts w:ascii="Arial" w:hAnsi="Arial" w:cs="Arial"/>
          <w:sz w:val="12"/>
          <w:szCs w:val="12"/>
          <w:lang w:val="it-IT"/>
        </w:rPr>
      </w:pPr>
    </w:p>
    <w:p w:rsidR="006F0677" w:rsidRDefault="006F0677" w:rsidP="00713534">
      <w:pPr>
        <w:rPr>
          <w:rFonts w:ascii="Arial" w:hAnsi="Arial" w:cs="Arial"/>
          <w:sz w:val="12"/>
          <w:szCs w:val="12"/>
          <w:lang w:val="it-IT"/>
        </w:rPr>
      </w:pPr>
    </w:p>
    <w:p w:rsidR="006F0677" w:rsidRDefault="006F0677" w:rsidP="006F0677">
      <w:pPr>
        <w:autoSpaceDE w:val="0"/>
        <w:autoSpaceDN w:val="0"/>
        <w:adjustRightInd w:val="0"/>
        <w:rPr>
          <w:rFonts w:ascii="Arial" w:hAnsi="Arial" w:cs="Arial"/>
          <w:b/>
          <w:sz w:val="36"/>
          <w:szCs w:val="36"/>
        </w:rPr>
      </w:pPr>
      <w:r w:rsidRPr="009B13F4">
        <w:rPr>
          <w:rFonts w:ascii="Arial" w:hAnsi="Arial" w:cs="Arial"/>
          <w:b/>
          <w:sz w:val="36"/>
          <w:szCs w:val="36"/>
        </w:rPr>
        <w:t>INDICE</w:t>
      </w:r>
    </w:p>
    <w:p w:rsidR="006F0677" w:rsidRDefault="006F0677" w:rsidP="006F0677">
      <w:pPr>
        <w:autoSpaceDE w:val="0"/>
        <w:autoSpaceDN w:val="0"/>
        <w:adjustRightInd w:val="0"/>
        <w:rPr>
          <w:rFonts w:ascii="Arial" w:hAnsi="Arial" w:cs="Arial"/>
          <w:b/>
          <w:sz w:val="36"/>
          <w:szCs w:val="36"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9B13F4">
        <w:rPr>
          <w:rFonts w:ascii="Arial" w:hAnsi="Arial" w:cs="Arial"/>
          <w:b/>
        </w:rPr>
        <w:t>1.- TOTAL</w:t>
      </w:r>
      <w:r>
        <w:rPr>
          <w:rFonts w:ascii="Arial" w:hAnsi="Arial" w:cs="Arial"/>
          <w:b/>
        </w:rPr>
        <w:t xml:space="preserve"> GENERAL</w:t>
      </w:r>
      <w:r w:rsidRPr="009B13F4">
        <w:rPr>
          <w:rFonts w:ascii="Arial" w:hAnsi="Arial" w:cs="Arial"/>
          <w:b/>
        </w:rPr>
        <w:t xml:space="preserve"> DE CONS</w:t>
      </w:r>
      <w:r w:rsidR="00BA3ADB">
        <w:rPr>
          <w:rFonts w:ascii="Arial" w:hAnsi="Arial" w:cs="Arial"/>
          <w:b/>
        </w:rPr>
        <w:t>ULTAS REALIZADAS DE ABRIL</w:t>
      </w:r>
      <w:r w:rsidR="00383ABD">
        <w:rPr>
          <w:rFonts w:ascii="Arial" w:hAnsi="Arial" w:cs="Arial"/>
          <w:b/>
        </w:rPr>
        <w:t xml:space="preserve"> 2022</w:t>
      </w:r>
      <w:r>
        <w:rPr>
          <w:rFonts w:ascii="Arial" w:hAnsi="Arial" w:cs="Arial"/>
          <w:b/>
        </w:rPr>
        <w:t xml:space="preserve"> </w:t>
      </w:r>
      <w:r w:rsidRPr="009B13F4">
        <w:rPr>
          <w:rFonts w:ascii="Arial" w:hAnsi="Arial" w:cs="Arial"/>
          <w:b/>
        </w:rPr>
        <w:t>EN EL APLICATIVO SUIC</w:t>
      </w:r>
      <w:r>
        <w:rPr>
          <w:rFonts w:ascii="Arial" w:hAnsi="Arial" w:cs="Arial"/>
          <w:b/>
        </w:rPr>
        <w:t xml:space="preserve"> (Con grafica)</w:t>
      </w: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1.1.-TOTAL DE CONSULTAS A VEHICULO QUE RESULTARON POSITIVAS</w:t>
      </w: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(Con grafica)</w:t>
      </w: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2.-TOTAL DE CONSULTAS A PERSONA</w:t>
      </w: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(Con grafica)</w:t>
      </w: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2.1.-TOTAL DE CONSULTAS A PERSONA QUE RESULTARON POSITIVAS </w:t>
      </w: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(Con grafica)</w:t>
      </w: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3.-TOTAL DE IPH (Informe Policial Homologado) </w:t>
      </w:r>
    </w:p>
    <w:p w:rsidR="006F0677" w:rsidRPr="009B13F4" w:rsidRDefault="006F0677" w:rsidP="006F0677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F0677" w:rsidRDefault="006F0677" w:rsidP="006F067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73257A" w:rsidRDefault="0073257A" w:rsidP="006F067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73257A" w:rsidRDefault="0073257A" w:rsidP="006F067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73257A" w:rsidRDefault="0073257A" w:rsidP="006F067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73257A" w:rsidRDefault="0073257A" w:rsidP="006F067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F0677" w:rsidRDefault="006F0677" w:rsidP="006F0677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0E5625" w:rsidRPr="007D4D3A" w:rsidRDefault="0073257A" w:rsidP="000E5625">
      <w:pPr>
        <w:outlineLvl w:val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B</w:t>
      </w:r>
      <w:r w:rsidR="000E5625" w:rsidRPr="007D4D3A">
        <w:rPr>
          <w:rFonts w:ascii="Arial" w:hAnsi="Arial" w:cs="Arial"/>
          <w:color w:val="FF0000"/>
        </w:rPr>
        <w:t>ase Central Unidad de análisis</w:t>
      </w:r>
    </w:p>
    <w:p w:rsidR="000E5625" w:rsidRDefault="000E5625" w:rsidP="000E5625">
      <w:pPr>
        <w:jc w:val="both"/>
        <w:rPr>
          <w:rFonts w:ascii="Arial" w:hAnsi="Arial" w:cs="Arial"/>
          <w:b/>
        </w:rPr>
      </w:pPr>
    </w:p>
    <w:p w:rsidR="000E5625" w:rsidRPr="007D4D3A" w:rsidRDefault="000E5625" w:rsidP="000E5625">
      <w:pPr>
        <w:jc w:val="both"/>
        <w:rPr>
          <w:rFonts w:ascii="Arial" w:hAnsi="Arial" w:cs="Arial"/>
        </w:rPr>
      </w:pPr>
      <w:r w:rsidRPr="007D4D3A">
        <w:rPr>
          <w:rFonts w:ascii="Arial" w:hAnsi="Arial" w:cs="Arial"/>
          <w:b/>
        </w:rPr>
        <w:t>1.-</w:t>
      </w:r>
      <w:r w:rsidRPr="007D4D3A">
        <w:rPr>
          <w:rFonts w:ascii="Arial" w:hAnsi="Arial" w:cs="Arial"/>
        </w:rPr>
        <w:t>En el intercambio de in</w:t>
      </w:r>
      <w:r>
        <w:rPr>
          <w:rFonts w:ascii="Arial" w:hAnsi="Arial" w:cs="Arial"/>
        </w:rPr>
        <w:t>formación entre los cuerpos de Policía de los tres órdenes de G</w:t>
      </w:r>
      <w:r w:rsidRPr="007D4D3A">
        <w:rPr>
          <w:rFonts w:ascii="Arial" w:hAnsi="Arial" w:cs="Arial"/>
        </w:rPr>
        <w:t>obierno, así como d</w:t>
      </w:r>
      <w:r>
        <w:rPr>
          <w:rFonts w:ascii="Arial" w:hAnsi="Arial" w:cs="Arial"/>
        </w:rPr>
        <w:t>e la consolidación del sistema Ú</w:t>
      </w:r>
      <w:r w:rsidRPr="007D4D3A">
        <w:rPr>
          <w:rFonts w:ascii="Arial" w:hAnsi="Arial" w:cs="Arial"/>
        </w:rPr>
        <w:t>nico</w:t>
      </w:r>
      <w:r>
        <w:rPr>
          <w:rFonts w:ascii="Arial" w:hAnsi="Arial" w:cs="Arial"/>
        </w:rPr>
        <w:t xml:space="preserve"> de Información C</w:t>
      </w:r>
      <w:r w:rsidRPr="007D4D3A">
        <w:rPr>
          <w:rFonts w:ascii="Arial" w:hAnsi="Arial" w:cs="Arial"/>
        </w:rPr>
        <w:t>riminal “SUIC”, para concentrar y compartir datos relevantes del fenómeno de</w:t>
      </w:r>
      <w:r>
        <w:rPr>
          <w:rFonts w:ascii="Arial" w:hAnsi="Arial" w:cs="Arial"/>
        </w:rPr>
        <w:t>lictivo, la unidad de análisis M</w:t>
      </w:r>
      <w:r w:rsidRPr="007D4D3A">
        <w:rPr>
          <w:rFonts w:ascii="Arial" w:hAnsi="Arial" w:cs="Arial"/>
        </w:rPr>
        <w:t>unicipal de forma sistematizada y o</w:t>
      </w:r>
      <w:r>
        <w:rPr>
          <w:rFonts w:ascii="Arial" w:hAnsi="Arial" w:cs="Arial"/>
        </w:rPr>
        <w:t>rd</w:t>
      </w:r>
      <w:r w:rsidR="00555D87">
        <w:rPr>
          <w:rFonts w:ascii="Arial" w:hAnsi="Arial" w:cs="Arial"/>
        </w:rPr>
        <w:t>en</w:t>
      </w:r>
      <w:r w:rsidR="00BA3ADB">
        <w:rPr>
          <w:rFonts w:ascii="Arial" w:hAnsi="Arial" w:cs="Arial"/>
        </w:rPr>
        <w:t>ada realizo en el mes de abril</w:t>
      </w:r>
      <w:r>
        <w:rPr>
          <w:rFonts w:ascii="Arial" w:hAnsi="Arial" w:cs="Arial"/>
        </w:rPr>
        <w:t xml:space="preserve"> un total de:</w:t>
      </w:r>
    </w:p>
    <w:p w:rsidR="000E5625" w:rsidRDefault="000E5625" w:rsidP="000E562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FF0000"/>
        </w:rPr>
      </w:pPr>
    </w:p>
    <w:p w:rsidR="000E5625" w:rsidRDefault="000E5625" w:rsidP="000E562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FF0000"/>
        </w:rPr>
      </w:pPr>
    </w:p>
    <w:p w:rsidR="000E5625" w:rsidRPr="008706B5" w:rsidRDefault="000E5625" w:rsidP="000E562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CC66CC">
        <w:rPr>
          <w:rFonts w:ascii="Arial" w:hAnsi="Arial" w:cs="Arial"/>
          <w:b/>
          <w:color w:val="FF0000"/>
        </w:rPr>
        <w:t>CONSULTAS</w:t>
      </w:r>
      <w:r>
        <w:rPr>
          <w:rFonts w:ascii="Arial" w:hAnsi="Arial" w:cs="Arial"/>
          <w:b/>
          <w:color w:val="FF0000"/>
        </w:rPr>
        <w:t xml:space="preserve"> en base de datos SAID y SUIC: </w:t>
      </w:r>
    </w:p>
    <w:tbl>
      <w:tblPr>
        <w:tblW w:w="1626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7625"/>
        <w:gridCol w:w="1216"/>
        <w:gridCol w:w="1340"/>
        <w:gridCol w:w="1216"/>
        <w:gridCol w:w="1216"/>
        <w:gridCol w:w="1216"/>
        <w:gridCol w:w="1216"/>
      </w:tblGrid>
      <w:tr w:rsidR="000E5625" w:rsidRPr="0064287C" w:rsidTr="005C6DF0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  <w:r w:rsidRPr="00630D71">
              <w:rPr>
                <w:rFonts w:ascii="Calibri" w:hAnsi="Calibri"/>
                <w:noProof/>
                <w:color w:val="000000"/>
                <w:lang w:eastAsia="es-MX"/>
              </w:rPr>
              <w:drawing>
                <wp:inline distT="0" distB="0" distL="0" distR="0" wp14:anchorId="4B9C07E1" wp14:editId="3BE72113">
                  <wp:extent cx="4733925" cy="2409825"/>
                  <wp:effectExtent l="0" t="0" r="0" b="0"/>
                  <wp:docPr id="53" name="Gráfico 1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0E5625" w:rsidRPr="0064287C" w:rsidTr="005C6DF0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625" w:rsidRPr="0064287C" w:rsidRDefault="000E5625" w:rsidP="005C6DF0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</w:tr>
      <w:tr w:rsidR="000E5625" w:rsidRPr="0064287C" w:rsidTr="005C6DF0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</w:tr>
      <w:tr w:rsidR="000E5625" w:rsidRPr="0064287C" w:rsidTr="005C6DF0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</w:tr>
      <w:tr w:rsidR="000E5625" w:rsidRPr="0064287C" w:rsidTr="005C6DF0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</w:tr>
      <w:tr w:rsidR="000E5625" w:rsidRPr="0064287C" w:rsidTr="000E5625">
        <w:trPr>
          <w:trHeight w:val="6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</w:tr>
      <w:tr w:rsidR="000E5625" w:rsidRPr="0064287C" w:rsidTr="005C6DF0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Default="000E5625" w:rsidP="005C6DF0">
            <w:pPr>
              <w:rPr>
                <w:rFonts w:ascii="Calibri" w:hAnsi="Calibri"/>
                <w:color w:val="000000"/>
              </w:rPr>
            </w:pPr>
          </w:p>
          <w:p w:rsidR="0073257A" w:rsidRDefault="0073257A" w:rsidP="005C6DF0">
            <w:pPr>
              <w:rPr>
                <w:rFonts w:ascii="Calibri" w:hAnsi="Calibri"/>
                <w:color w:val="000000"/>
              </w:rPr>
            </w:pPr>
          </w:p>
          <w:p w:rsidR="0073257A" w:rsidRDefault="0073257A" w:rsidP="005C6DF0">
            <w:pPr>
              <w:rPr>
                <w:rFonts w:ascii="Calibri" w:hAnsi="Calibri"/>
                <w:color w:val="000000"/>
              </w:rPr>
            </w:pPr>
          </w:p>
          <w:p w:rsidR="0073257A" w:rsidRPr="0064287C" w:rsidRDefault="0073257A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</w:tr>
      <w:tr w:rsidR="000E5625" w:rsidRPr="0064287C" w:rsidTr="005C6DF0">
        <w:trPr>
          <w:trHeight w:val="8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</w:tr>
      <w:tr w:rsidR="000E5625" w:rsidRPr="0064287C" w:rsidTr="005C6DF0">
        <w:trPr>
          <w:trHeight w:val="30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64287C" w:rsidRDefault="000E5625" w:rsidP="005C6DF0">
            <w:pPr>
              <w:rPr>
                <w:rFonts w:ascii="Calibri" w:hAnsi="Calibri"/>
                <w:color w:val="000000"/>
              </w:rPr>
            </w:pPr>
          </w:p>
        </w:tc>
      </w:tr>
    </w:tbl>
    <w:p w:rsidR="000E5625" w:rsidRPr="00FB225D" w:rsidRDefault="000E5625" w:rsidP="000E5625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 LAS CUALES RESULTARON </w:t>
      </w:r>
      <w:r w:rsidRPr="00FB225D">
        <w:rPr>
          <w:rFonts w:ascii="Arial" w:hAnsi="Arial" w:cs="Arial"/>
          <w:b/>
        </w:rPr>
        <w:t>POSITIVAS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6"/>
        <w:gridCol w:w="146"/>
        <w:gridCol w:w="146"/>
        <w:gridCol w:w="146"/>
      </w:tblGrid>
      <w:tr w:rsidR="000E5625" w:rsidRPr="00CA1598" w:rsidTr="005C6DF0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177191" w:rsidRDefault="000E5625" w:rsidP="005C6DF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177191" w:rsidRDefault="000E5625" w:rsidP="005C6DF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CA1598" w:rsidRDefault="000E5625" w:rsidP="005C6DF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CA1598" w:rsidRDefault="000E5625" w:rsidP="005C6DF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CA1598" w:rsidRDefault="000E5625" w:rsidP="005C6DF0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0E5625" w:rsidRPr="007D4D3A" w:rsidRDefault="000E5625" w:rsidP="000E5625">
      <w:pPr>
        <w:jc w:val="both"/>
        <w:rPr>
          <w:rFonts w:ascii="Arial" w:hAnsi="Arial" w:cs="Arial"/>
        </w:rPr>
      </w:pPr>
      <w:r w:rsidRPr="007D4D3A">
        <w:rPr>
          <w:rFonts w:ascii="Arial" w:hAnsi="Arial" w:cs="Arial"/>
          <w:b/>
        </w:rPr>
        <w:t xml:space="preserve">1.1.- </w:t>
      </w:r>
      <w:r w:rsidRPr="007D4D3A">
        <w:rPr>
          <w:rFonts w:ascii="Arial" w:hAnsi="Arial" w:cs="Arial"/>
        </w:rPr>
        <w:t>Los Métodos y Técnicas de trabajo que conducen a la realización del total de consultas a vehículo, solicitadas por medio del despliegue operativo a</w:t>
      </w:r>
      <w:r>
        <w:rPr>
          <w:rFonts w:ascii="Arial" w:hAnsi="Arial" w:cs="Arial"/>
        </w:rPr>
        <w:t xml:space="preserve"> esta unidad de análisis del mes de:</w:t>
      </w:r>
    </w:p>
    <w:tbl>
      <w:tblPr>
        <w:tblpPr w:leftFromText="141" w:rightFromText="141" w:vertAnchor="text" w:tblpY="315"/>
        <w:tblW w:w="758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216"/>
        <w:gridCol w:w="1340"/>
        <w:gridCol w:w="1216"/>
        <w:gridCol w:w="1216"/>
        <w:gridCol w:w="1216"/>
      </w:tblGrid>
      <w:tr w:rsidR="000E5625" w:rsidRPr="00FA4646" w:rsidTr="000E562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0E5625" w:rsidRPr="00FA4646" w:rsidTr="00632BBA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625" w:rsidRPr="00FA4646" w:rsidRDefault="000E5625" w:rsidP="008707F5">
                  <w:pPr>
                    <w:framePr w:hSpace="141" w:wrap="around" w:vAnchor="text" w:hAnchor="text" w:y="315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0E5625" w:rsidRPr="00FA4646" w:rsidRDefault="000E5625" w:rsidP="000E56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rPr>
                <w:rFonts w:ascii="Calibri" w:hAnsi="Calibri"/>
                <w:color w:val="000000"/>
              </w:rPr>
            </w:pPr>
          </w:p>
        </w:tc>
      </w:tr>
      <w:tr w:rsidR="000E5625" w:rsidRPr="00FA4646" w:rsidTr="000E5625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TOTAL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rPr>
                <w:rFonts w:ascii="Calibri" w:hAnsi="Calibri"/>
                <w:color w:val="000000"/>
              </w:rPr>
            </w:pPr>
          </w:p>
        </w:tc>
      </w:tr>
      <w:tr w:rsidR="000E5625" w:rsidRPr="00FA4646" w:rsidTr="000E5625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5625" w:rsidRPr="00FA4646" w:rsidRDefault="00BA3ADB" w:rsidP="00D1427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ABRIL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E0B2"/>
            <w:noWrap/>
            <w:vAlign w:val="bottom"/>
            <w:hideMark/>
          </w:tcPr>
          <w:p w:rsidR="000E5625" w:rsidRPr="000B5652" w:rsidRDefault="00D14277" w:rsidP="00D14277">
            <w:pPr>
              <w:jc w:val="center"/>
              <w:rPr>
                <w:rFonts w:ascii="Calibri" w:hAnsi="Calibri"/>
                <w:b/>
                <w:bCs/>
                <w:sz w:val="52"/>
                <w:szCs w:val="52"/>
              </w:rPr>
            </w:pPr>
            <w:r>
              <w:rPr>
                <w:rFonts w:ascii="Calibri" w:hAnsi="Calibri"/>
                <w:b/>
                <w:bCs/>
                <w:sz w:val="52"/>
                <w:szCs w:val="52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FA4646" w:rsidRDefault="000E5625" w:rsidP="000E5625">
            <w:pPr>
              <w:rPr>
                <w:rFonts w:ascii="Calibri" w:hAnsi="Calibri"/>
                <w:color w:val="000000"/>
              </w:rPr>
            </w:pPr>
          </w:p>
        </w:tc>
      </w:tr>
    </w:tbl>
    <w:p w:rsidR="000E5625" w:rsidRPr="007F5E77" w:rsidRDefault="000E5625" w:rsidP="000E5625">
      <w:pPr>
        <w:jc w:val="both"/>
        <w:rPr>
          <w:rFonts w:ascii="Arial" w:hAnsi="Arial" w:cs="Arial"/>
        </w:rPr>
      </w:pPr>
      <w:r w:rsidRPr="009A5A9C">
        <w:rPr>
          <w:rFonts w:ascii="Arial" w:hAnsi="Arial" w:cs="Arial"/>
          <w:b/>
          <w:color w:val="FF0000"/>
        </w:rPr>
        <w:t>TOTALES</w:t>
      </w:r>
    </w:p>
    <w:p w:rsidR="000E5625" w:rsidRPr="009A5A9C" w:rsidRDefault="000E5625" w:rsidP="000E5625">
      <w:pPr>
        <w:tabs>
          <w:tab w:val="left" w:pos="3540"/>
        </w:tabs>
        <w:jc w:val="center"/>
        <w:outlineLvl w:val="0"/>
        <w:rPr>
          <w:rFonts w:ascii="Arial" w:hAnsi="Arial" w:cs="Arial"/>
          <w:b/>
          <w:color w:val="FF0000"/>
        </w:rPr>
      </w:pPr>
    </w:p>
    <w:p w:rsidR="000E5625" w:rsidRDefault="000E5625" w:rsidP="000E562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0E5625" w:rsidRDefault="000E5625" w:rsidP="000E562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6F0677" w:rsidRDefault="006F0677" w:rsidP="00713534">
      <w:pPr>
        <w:rPr>
          <w:rFonts w:ascii="Arial" w:hAnsi="Arial" w:cs="Arial"/>
          <w:sz w:val="12"/>
          <w:szCs w:val="12"/>
          <w:lang w:val="it-IT"/>
        </w:rPr>
      </w:pPr>
    </w:p>
    <w:p w:rsidR="000746A2" w:rsidRDefault="000746A2"/>
    <w:p w:rsidR="007005DD" w:rsidRDefault="007005DD"/>
    <w:p w:rsidR="007005DD" w:rsidRPr="007005DD" w:rsidRDefault="007005DD" w:rsidP="007005DD"/>
    <w:p w:rsidR="000E5625" w:rsidRDefault="000E5625" w:rsidP="000E5625">
      <w:pPr>
        <w:tabs>
          <w:tab w:val="left" w:pos="1560"/>
          <w:tab w:val="left" w:pos="2268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9759E">
        <w:rPr>
          <w:rFonts w:ascii="Arial" w:hAnsi="Arial" w:cs="Arial"/>
          <w:b/>
        </w:rPr>
        <w:t>1.2.-</w:t>
      </w:r>
      <w:r>
        <w:rPr>
          <w:rFonts w:ascii="Arial" w:hAnsi="Arial" w:cs="Arial"/>
        </w:rPr>
        <w:t>En la base central de la unidad de análisis de la Comisaria de la Policía Preventiva Municipal de San Pedro Tlaquepaque,</w:t>
      </w:r>
      <w:r w:rsidRPr="0045167B">
        <w:rPr>
          <w:rFonts w:ascii="Arial" w:hAnsi="Arial" w:cs="Arial"/>
        </w:rPr>
        <w:t xml:space="preserve"> se cuenta con la capacidad de integrar y proporcionar información las 24 horas del día, </w:t>
      </w:r>
      <w:r w:rsidRPr="002C24E0">
        <w:rPr>
          <w:rFonts w:ascii="Arial" w:hAnsi="Arial" w:cs="Arial"/>
        </w:rPr>
        <w:t>bajo las políticas definidas y protocolos diseñados</w:t>
      </w:r>
      <w:r w:rsidRPr="0045167B">
        <w:rPr>
          <w:rFonts w:ascii="Arial" w:hAnsi="Arial" w:cs="Arial"/>
        </w:rPr>
        <w:t>, lo que permite proporcionar información de inteligencia en apoyo para las labores policial</w:t>
      </w:r>
      <w:r>
        <w:rPr>
          <w:rFonts w:ascii="Arial" w:hAnsi="Arial" w:cs="Arial"/>
        </w:rPr>
        <w:t xml:space="preserve">es o investigaciones sistemáticas en proceso, Consultas contabilizadas por mes, con cuatro criterios de búsqueda </w:t>
      </w:r>
      <w:r>
        <w:rPr>
          <w:rFonts w:ascii="Arial" w:hAnsi="Arial" w:cs="Arial"/>
          <w:b/>
          <w:color w:val="FF0000"/>
          <w:u w:val="single"/>
        </w:rPr>
        <w:t>P</w:t>
      </w:r>
      <w:r w:rsidRPr="002C24E0">
        <w:rPr>
          <w:rFonts w:ascii="Arial" w:hAnsi="Arial" w:cs="Arial"/>
          <w:b/>
          <w:color w:val="FF0000"/>
          <w:u w:val="single"/>
        </w:rPr>
        <w:t xml:space="preserve">ersona, </w:t>
      </w:r>
      <w:r>
        <w:rPr>
          <w:rFonts w:ascii="Arial" w:hAnsi="Arial" w:cs="Arial"/>
          <w:b/>
          <w:color w:val="FF0000"/>
          <w:u w:val="single"/>
        </w:rPr>
        <w:t>V</w:t>
      </w:r>
      <w:r w:rsidRPr="002C24E0">
        <w:rPr>
          <w:rFonts w:ascii="Arial" w:hAnsi="Arial" w:cs="Arial"/>
          <w:b/>
          <w:color w:val="FF0000"/>
          <w:u w:val="single"/>
        </w:rPr>
        <w:t xml:space="preserve">ehículo, </w:t>
      </w:r>
      <w:r>
        <w:rPr>
          <w:rFonts w:ascii="Arial" w:hAnsi="Arial" w:cs="Arial"/>
          <w:b/>
          <w:color w:val="FF0000"/>
          <w:u w:val="single"/>
        </w:rPr>
        <w:t>A</w:t>
      </w:r>
      <w:r w:rsidRPr="002C24E0">
        <w:rPr>
          <w:rFonts w:ascii="Arial" w:hAnsi="Arial" w:cs="Arial"/>
          <w:b/>
          <w:color w:val="FF0000"/>
          <w:u w:val="single"/>
        </w:rPr>
        <w:t xml:space="preserve">rmas, y </w:t>
      </w:r>
      <w:r>
        <w:rPr>
          <w:rFonts w:ascii="Arial" w:hAnsi="Arial" w:cs="Arial"/>
          <w:b/>
          <w:color w:val="FF0000"/>
          <w:u w:val="single"/>
        </w:rPr>
        <w:t>N</w:t>
      </w:r>
      <w:r w:rsidRPr="002C24E0">
        <w:rPr>
          <w:rFonts w:ascii="Arial" w:hAnsi="Arial" w:cs="Arial"/>
          <w:b/>
          <w:color w:val="FF0000"/>
          <w:u w:val="single"/>
        </w:rPr>
        <w:t xml:space="preserve">úmeros </w:t>
      </w:r>
      <w:r>
        <w:rPr>
          <w:rFonts w:ascii="Arial" w:hAnsi="Arial" w:cs="Arial"/>
          <w:b/>
          <w:color w:val="FF0000"/>
          <w:u w:val="single"/>
        </w:rPr>
        <w:t>de S</w:t>
      </w:r>
      <w:r w:rsidRPr="002C24E0">
        <w:rPr>
          <w:rFonts w:ascii="Arial" w:hAnsi="Arial" w:cs="Arial"/>
          <w:b/>
          <w:color w:val="FF0000"/>
          <w:u w:val="single"/>
        </w:rPr>
        <w:t>erie</w:t>
      </w:r>
      <w:r>
        <w:rPr>
          <w:rFonts w:ascii="Arial" w:hAnsi="Arial" w:cs="Arial"/>
        </w:rPr>
        <w:t>, en el SUIC, Sistema Único de Información Criminal.</w:t>
      </w:r>
    </w:p>
    <w:p w:rsidR="000E5625" w:rsidRDefault="000E5625" w:rsidP="000E5625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733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0"/>
        <w:gridCol w:w="198"/>
        <w:gridCol w:w="216"/>
        <w:gridCol w:w="198"/>
        <w:gridCol w:w="195"/>
        <w:gridCol w:w="199"/>
        <w:gridCol w:w="197"/>
      </w:tblGrid>
      <w:tr w:rsidR="000E5625" w:rsidRPr="007665A8" w:rsidTr="005C6DF0">
        <w:trPr>
          <w:trHeight w:val="300"/>
        </w:trPr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margin" w:tblpY="84"/>
              <w:tblW w:w="599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9"/>
              <w:gridCol w:w="936"/>
              <w:gridCol w:w="1107"/>
              <w:gridCol w:w="876"/>
              <w:gridCol w:w="896"/>
              <w:gridCol w:w="956"/>
            </w:tblGrid>
            <w:tr w:rsidR="000E5625" w:rsidRPr="00104667" w:rsidTr="005C6DF0">
              <w:trPr>
                <w:trHeight w:val="300"/>
              </w:trPr>
              <w:tc>
                <w:tcPr>
                  <w:tcW w:w="12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625" w:rsidRPr="00104667" w:rsidRDefault="000E5625" w:rsidP="005C6DF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625" w:rsidRDefault="000E5625" w:rsidP="005C6DF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  <w:p w:rsidR="0073257A" w:rsidRDefault="0073257A" w:rsidP="005C6DF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  <w:p w:rsidR="0073257A" w:rsidRDefault="0073257A" w:rsidP="005C6DF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  <w:p w:rsidR="0073257A" w:rsidRDefault="0073257A" w:rsidP="005C6DF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  <w:p w:rsidR="0073257A" w:rsidRDefault="0073257A" w:rsidP="005C6DF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  <w:p w:rsidR="0073257A" w:rsidRDefault="0073257A" w:rsidP="005C6DF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  <w:p w:rsidR="0073257A" w:rsidRPr="00104667" w:rsidRDefault="0073257A" w:rsidP="005C6DF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1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625" w:rsidRPr="00104667" w:rsidRDefault="000E5625" w:rsidP="005C6DF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625" w:rsidRPr="00104667" w:rsidRDefault="000E5625" w:rsidP="005C6DF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625" w:rsidRPr="00104667" w:rsidRDefault="000E5625" w:rsidP="005C6DF0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625" w:rsidRPr="00104667" w:rsidRDefault="000E5625" w:rsidP="005C6DF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0E5625" w:rsidRPr="005E472D" w:rsidRDefault="000E5625" w:rsidP="005C6DF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625" w:rsidRPr="007665A8" w:rsidRDefault="000E5625" w:rsidP="005C6DF0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625" w:rsidRPr="007665A8" w:rsidRDefault="000E5625" w:rsidP="005C6DF0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625" w:rsidRPr="007665A8" w:rsidRDefault="000E5625" w:rsidP="005C6DF0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625" w:rsidRPr="007665A8" w:rsidRDefault="000E5625" w:rsidP="005C6DF0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625" w:rsidRPr="007665A8" w:rsidRDefault="000E5625" w:rsidP="005C6DF0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E5625" w:rsidRPr="007665A8" w:rsidRDefault="000E5625" w:rsidP="005C6DF0">
            <w:pPr>
              <w:jc w:val="right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:rsidR="000E5625" w:rsidRDefault="000E5625" w:rsidP="00992574">
      <w:pPr>
        <w:autoSpaceDE w:val="0"/>
        <w:autoSpaceDN w:val="0"/>
        <w:adjustRightInd w:val="0"/>
        <w:outlineLvl w:val="0"/>
        <w:rPr>
          <w:rFonts w:ascii="Arial" w:hAnsi="Arial" w:cs="Arial"/>
          <w:b/>
        </w:rPr>
      </w:pPr>
    </w:p>
    <w:p w:rsidR="000E5625" w:rsidRDefault="000E5625" w:rsidP="000E562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</w:p>
    <w:p w:rsidR="000E5625" w:rsidRPr="007558AD" w:rsidRDefault="000E5625" w:rsidP="000E562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902157">
        <w:rPr>
          <w:rFonts w:ascii="Arial" w:hAnsi="Arial" w:cs="Arial"/>
          <w:b/>
        </w:rPr>
        <w:t>2.-</w:t>
      </w:r>
      <w:r>
        <w:rPr>
          <w:rFonts w:ascii="Arial" w:hAnsi="Arial" w:cs="Arial"/>
        </w:rPr>
        <w:t>Total de consulta a persona en base de datos SAID Y SUIC</w:t>
      </w:r>
    </w:p>
    <w:p w:rsidR="000E5625" w:rsidRPr="00705928" w:rsidRDefault="000E5625" w:rsidP="000E5625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8302A">
        <w:rPr>
          <w:rFonts w:ascii="Calibri" w:hAnsi="Calibri"/>
          <w:noProof/>
          <w:color w:val="000000"/>
          <w:lang w:eastAsia="es-MX"/>
        </w:rPr>
        <w:drawing>
          <wp:inline distT="0" distB="0" distL="0" distR="0" wp14:anchorId="11DC5C2F" wp14:editId="4DC93EC8">
            <wp:extent cx="4905375" cy="3069772"/>
            <wp:effectExtent l="0" t="0" r="0" b="0"/>
            <wp:docPr id="52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pPr w:leftFromText="141" w:rightFromText="141" w:vertAnchor="text" w:horzAnchor="margin" w:tblpY="155"/>
        <w:tblW w:w="92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9"/>
        <w:gridCol w:w="729"/>
        <w:gridCol w:w="1340"/>
        <w:gridCol w:w="4989"/>
        <w:gridCol w:w="728"/>
        <w:gridCol w:w="728"/>
      </w:tblGrid>
      <w:tr w:rsidR="000E5625" w:rsidRPr="00D1452B" w:rsidTr="005C6DF0">
        <w:trPr>
          <w:trHeight w:val="300"/>
        </w:trPr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D1452B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D1452B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D1452B" w:rsidRDefault="000E5625" w:rsidP="005C6DF0">
            <w:pPr>
              <w:rPr>
                <w:rFonts w:ascii="Calibri" w:hAnsi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0E5625" w:rsidRPr="00D1452B" w:rsidTr="005C6DF0">
              <w:trPr>
                <w:trHeight w:val="3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5625" w:rsidRPr="00D1452B" w:rsidRDefault="000E5625" w:rsidP="008707F5">
                  <w:pPr>
                    <w:framePr w:hSpace="141" w:wrap="around" w:vAnchor="text" w:hAnchor="margin" w:y="155"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0E5625" w:rsidRPr="00D1452B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D1452B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D1452B" w:rsidRDefault="000E5625" w:rsidP="005C6DF0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625" w:rsidRPr="00D1452B" w:rsidRDefault="000E5625" w:rsidP="005C6DF0">
            <w:pPr>
              <w:rPr>
                <w:rFonts w:ascii="Calibri" w:hAnsi="Calibri"/>
                <w:color w:val="000000"/>
              </w:rPr>
            </w:pPr>
          </w:p>
        </w:tc>
      </w:tr>
    </w:tbl>
    <w:p w:rsidR="000E5625" w:rsidRDefault="000E5625" w:rsidP="007005DD"/>
    <w:p w:rsidR="000746A2" w:rsidRDefault="007005DD" w:rsidP="007005DD">
      <w:pPr>
        <w:tabs>
          <w:tab w:val="left" w:pos="6490"/>
        </w:tabs>
      </w:pPr>
      <w:r>
        <w:tab/>
      </w:r>
    </w:p>
    <w:p w:rsidR="00154386" w:rsidRDefault="00154386" w:rsidP="007005DD">
      <w:pPr>
        <w:tabs>
          <w:tab w:val="left" w:pos="6490"/>
        </w:tabs>
      </w:pPr>
    </w:p>
    <w:p w:rsidR="00992574" w:rsidRDefault="00992574" w:rsidP="007005DD">
      <w:pPr>
        <w:tabs>
          <w:tab w:val="left" w:pos="6490"/>
        </w:tabs>
      </w:pPr>
    </w:p>
    <w:p w:rsidR="00992574" w:rsidRDefault="00992574" w:rsidP="007005DD">
      <w:pPr>
        <w:tabs>
          <w:tab w:val="left" w:pos="6490"/>
        </w:tabs>
      </w:pPr>
    </w:p>
    <w:p w:rsidR="00992574" w:rsidRDefault="00992574" w:rsidP="007005DD">
      <w:pPr>
        <w:tabs>
          <w:tab w:val="left" w:pos="6490"/>
        </w:tabs>
      </w:pPr>
    </w:p>
    <w:p w:rsidR="00992574" w:rsidRDefault="00992574" w:rsidP="007005DD">
      <w:pPr>
        <w:tabs>
          <w:tab w:val="left" w:pos="6490"/>
        </w:tabs>
      </w:pPr>
    </w:p>
    <w:p w:rsidR="00992574" w:rsidRDefault="00992574" w:rsidP="007005DD">
      <w:pPr>
        <w:tabs>
          <w:tab w:val="left" w:pos="6490"/>
        </w:tabs>
      </w:pPr>
    </w:p>
    <w:p w:rsidR="00992574" w:rsidRDefault="00992574" w:rsidP="007005DD">
      <w:pPr>
        <w:tabs>
          <w:tab w:val="left" w:pos="6490"/>
        </w:tabs>
      </w:pPr>
    </w:p>
    <w:p w:rsidR="00992574" w:rsidRDefault="00992574" w:rsidP="00992574">
      <w:pPr>
        <w:jc w:val="both"/>
        <w:rPr>
          <w:rFonts w:ascii="Arial" w:hAnsi="Arial" w:cs="Arial"/>
          <w:b/>
        </w:rPr>
      </w:pPr>
    </w:p>
    <w:p w:rsidR="00992574" w:rsidRDefault="00992574" w:rsidP="00992574">
      <w:pPr>
        <w:jc w:val="both"/>
        <w:rPr>
          <w:rFonts w:ascii="Arial" w:hAnsi="Arial" w:cs="Arial"/>
        </w:rPr>
      </w:pPr>
      <w:r w:rsidRPr="00F31631">
        <w:rPr>
          <w:rFonts w:ascii="Arial" w:hAnsi="Arial" w:cs="Arial"/>
          <w:b/>
        </w:rPr>
        <w:t>3.-</w:t>
      </w:r>
      <w:r w:rsidRPr="00F31631">
        <w:rPr>
          <w:rFonts w:ascii="Arial" w:eastAsia="+mn-ea" w:hAnsi="Arial" w:cs="Arial"/>
          <w:b/>
          <w:color w:val="000000"/>
          <w:kern w:val="24"/>
          <w:lang w:eastAsia="es-ES"/>
        </w:rPr>
        <w:t>IPH</w:t>
      </w:r>
      <w:r>
        <w:rPr>
          <w:rFonts w:ascii="Arial" w:eastAsia="+mn-ea" w:hAnsi="Arial" w:cs="Arial"/>
          <w:b/>
          <w:color w:val="000000"/>
          <w:kern w:val="24"/>
          <w:lang w:eastAsia="es-ES"/>
        </w:rPr>
        <w:t xml:space="preserve"> </w:t>
      </w:r>
      <w:r w:rsidRPr="00F31631">
        <w:rPr>
          <w:rFonts w:ascii="Arial" w:hAnsi="Arial" w:cs="Arial"/>
        </w:rPr>
        <w:t>Es una herramienta sistemática que permite la captura en línea de los informes rendidos por los elementos policiales, cuando ocurre un event</w:t>
      </w:r>
      <w:r>
        <w:rPr>
          <w:rFonts w:ascii="Arial" w:hAnsi="Arial" w:cs="Arial"/>
        </w:rPr>
        <w:t>o durante la actividad Policial generando así una B</w:t>
      </w:r>
      <w:r w:rsidRPr="00F31631">
        <w:rPr>
          <w:rFonts w:ascii="Arial" w:hAnsi="Arial" w:cs="Arial"/>
        </w:rPr>
        <w:t>ase</w:t>
      </w:r>
      <w:r>
        <w:rPr>
          <w:rFonts w:ascii="Arial" w:hAnsi="Arial" w:cs="Arial"/>
        </w:rPr>
        <w:t xml:space="preserve"> de Datos estructurada a nivel N</w:t>
      </w:r>
      <w:r w:rsidRPr="00F31631">
        <w:rPr>
          <w:rFonts w:ascii="Arial" w:hAnsi="Arial" w:cs="Arial"/>
        </w:rPr>
        <w:t>acional, con la cual se efectuará el cruce de información de personas, armas y vehículos involucra</w:t>
      </w:r>
      <w:r>
        <w:rPr>
          <w:rFonts w:ascii="Arial" w:hAnsi="Arial" w:cs="Arial"/>
        </w:rPr>
        <w:t>d</w:t>
      </w:r>
      <w:r w:rsidRPr="00F31631">
        <w:rPr>
          <w:rFonts w:ascii="Arial" w:hAnsi="Arial" w:cs="Arial"/>
        </w:rPr>
        <w:t>os en un event</w:t>
      </w:r>
      <w:r>
        <w:rPr>
          <w:rFonts w:ascii="Arial" w:hAnsi="Arial" w:cs="Arial"/>
        </w:rPr>
        <w:t>o por lo que la Unidad de Análisis ha capturado un total en el mes de:</w:t>
      </w:r>
    </w:p>
    <w:p w:rsidR="00992574" w:rsidRDefault="00992574" w:rsidP="00992574">
      <w:pPr>
        <w:jc w:val="both"/>
        <w:rPr>
          <w:rFonts w:ascii="Arial" w:hAnsi="Arial" w:cs="Arial"/>
        </w:rPr>
      </w:pPr>
    </w:p>
    <w:p w:rsidR="00992574" w:rsidRDefault="00992574" w:rsidP="00992574">
      <w:pPr>
        <w:jc w:val="both"/>
        <w:rPr>
          <w:rFonts w:ascii="Arial" w:hAnsi="Arial" w:cs="Arial"/>
        </w:rPr>
      </w:pPr>
    </w:p>
    <w:tbl>
      <w:tblPr>
        <w:tblW w:w="259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0"/>
        <w:gridCol w:w="1216"/>
      </w:tblGrid>
      <w:tr w:rsidR="00992574" w:rsidRPr="00F31631" w:rsidTr="005C6DF0">
        <w:trPr>
          <w:trHeight w:val="300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574" w:rsidRPr="00F31631" w:rsidRDefault="00992574" w:rsidP="005C6DF0">
            <w:pPr>
              <w:jc w:val="center"/>
              <w:rPr>
                <w:rFonts w:ascii="Calibri" w:hAnsi="Calibri"/>
                <w:color w:val="000000"/>
                <w:lang w:eastAsia="es-ES"/>
              </w:rPr>
            </w:pPr>
            <w:r>
              <w:rPr>
                <w:rFonts w:ascii="Calibri" w:hAnsi="Calibri"/>
                <w:color w:val="000000"/>
                <w:lang w:eastAsia="es-ES"/>
              </w:rPr>
              <w:t>MES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2574" w:rsidRPr="00F31631" w:rsidRDefault="00992574" w:rsidP="005C6DF0">
            <w:pPr>
              <w:jc w:val="center"/>
              <w:rPr>
                <w:rFonts w:ascii="Calibri" w:hAnsi="Calibri"/>
                <w:color w:val="000000"/>
                <w:lang w:eastAsia="es-ES"/>
              </w:rPr>
            </w:pPr>
            <w:r>
              <w:rPr>
                <w:rFonts w:ascii="Calibri" w:hAnsi="Calibri"/>
                <w:color w:val="000000"/>
                <w:lang w:eastAsia="es-ES"/>
              </w:rPr>
              <w:t>IPH</w:t>
            </w:r>
          </w:p>
        </w:tc>
      </w:tr>
      <w:tr w:rsidR="00992574" w:rsidRPr="00F31631" w:rsidTr="005C6DF0">
        <w:trPr>
          <w:trHeight w:val="30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574" w:rsidRPr="00F31631" w:rsidRDefault="00920670" w:rsidP="003263BB">
            <w:pPr>
              <w:jc w:val="center"/>
              <w:rPr>
                <w:rFonts w:ascii="Calibri" w:hAnsi="Calibri"/>
                <w:b/>
                <w:bCs/>
                <w:color w:val="FF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FF0000"/>
                <w:lang w:eastAsia="es-ES"/>
              </w:rPr>
              <w:t>ABRIL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2574" w:rsidRPr="00F31631" w:rsidRDefault="003263BB" w:rsidP="003263BB">
            <w:pPr>
              <w:jc w:val="center"/>
              <w:rPr>
                <w:rFonts w:ascii="Calibri" w:hAnsi="Calibri"/>
                <w:b/>
                <w:bCs/>
                <w:color w:val="000000"/>
                <w:lang w:eastAsia="es-ES"/>
              </w:rPr>
            </w:pPr>
            <w:r>
              <w:rPr>
                <w:rFonts w:ascii="Calibri" w:hAnsi="Calibri"/>
                <w:b/>
                <w:bCs/>
                <w:color w:val="000000"/>
                <w:lang w:eastAsia="es-ES"/>
              </w:rPr>
              <w:t>195</w:t>
            </w:r>
          </w:p>
        </w:tc>
      </w:tr>
    </w:tbl>
    <w:p w:rsidR="00992574" w:rsidRPr="00BE453A" w:rsidRDefault="00992574" w:rsidP="00992574">
      <w:pPr>
        <w:rPr>
          <w:rFonts w:ascii="Arial" w:hAnsi="Arial" w:cs="Arial"/>
          <w:sz w:val="16"/>
          <w:szCs w:val="16"/>
        </w:rPr>
      </w:pPr>
      <w:r w:rsidRPr="00BE453A">
        <w:rPr>
          <w:rFonts w:ascii="Arial" w:hAnsi="Arial" w:cs="Arial"/>
          <w:noProof/>
          <w:sz w:val="16"/>
          <w:szCs w:val="16"/>
          <w:lang w:eastAsia="es-MX"/>
        </w:rPr>
        <w:drawing>
          <wp:inline distT="0" distB="0" distL="0" distR="0" wp14:anchorId="121C7AA9" wp14:editId="699A6621">
            <wp:extent cx="5734050" cy="3486150"/>
            <wp:effectExtent l="0" t="0" r="0" b="0"/>
            <wp:docPr id="56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92574" w:rsidRDefault="00992574" w:rsidP="00992574">
      <w:pPr>
        <w:rPr>
          <w:rFonts w:ascii="Arial" w:hAnsi="Arial" w:cs="Arial"/>
          <w:sz w:val="16"/>
          <w:szCs w:val="16"/>
        </w:rPr>
      </w:pPr>
    </w:p>
    <w:p w:rsidR="00230DF8" w:rsidRDefault="00230DF8" w:rsidP="00992574">
      <w:pPr>
        <w:rPr>
          <w:rFonts w:ascii="Arial" w:hAnsi="Arial" w:cs="Arial"/>
          <w:sz w:val="16"/>
          <w:szCs w:val="16"/>
        </w:rPr>
      </w:pPr>
    </w:p>
    <w:p w:rsidR="00230DF8" w:rsidRDefault="00230DF8" w:rsidP="00992574">
      <w:pPr>
        <w:rPr>
          <w:rFonts w:ascii="Arial" w:hAnsi="Arial" w:cs="Arial"/>
          <w:sz w:val="16"/>
          <w:szCs w:val="16"/>
        </w:rPr>
      </w:pPr>
    </w:p>
    <w:p w:rsidR="00230DF8" w:rsidRDefault="00230DF8" w:rsidP="00992574">
      <w:pPr>
        <w:rPr>
          <w:rFonts w:ascii="Arial" w:hAnsi="Arial" w:cs="Arial"/>
          <w:sz w:val="16"/>
          <w:szCs w:val="16"/>
        </w:rPr>
      </w:pPr>
    </w:p>
    <w:p w:rsidR="00230DF8" w:rsidRPr="00BE453A" w:rsidRDefault="00230DF8" w:rsidP="00992574">
      <w:pPr>
        <w:rPr>
          <w:rFonts w:ascii="Arial" w:hAnsi="Arial" w:cs="Arial"/>
          <w:sz w:val="16"/>
          <w:szCs w:val="16"/>
        </w:rPr>
      </w:pPr>
    </w:p>
    <w:p w:rsidR="00992574" w:rsidRDefault="00992574" w:rsidP="00992574">
      <w:pPr>
        <w:rPr>
          <w:rFonts w:ascii="Arial" w:hAnsi="Arial" w:cs="Arial"/>
          <w:sz w:val="16"/>
          <w:szCs w:val="16"/>
        </w:rPr>
      </w:pPr>
    </w:p>
    <w:p w:rsidR="00992574" w:rsidRPr="00BE453A" w:rsidRDefault="00992574" w:rsidP="00992574">
      <w:pPr>
        <w:tabs>
          <w:tab w:val="left" w:pos="400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INFORME POLICIAL HOMOLOGADO</w:t>
      </w:r>
      <w:r>
        <w:rPr>
          <w:rFonts w:ascii="Arial" w:hAnsi="Arial" w:cs="Arial"/>
          <w:sz w:val="16"/>
          <w:szCs w:val="16"/>
        </w:rPr>
        <w:tab/>
      </w:r>
    </w:p>
    <w:p w:rsidR="00992574" w:rsidRPr="00FB57F3" w:rsidRDefault="00992574" w:rsidP="00992574">
      <w:pPr>
        <w:rPr>
          <w:rFonts w:ascii="Arial" w:hAnsi="Arial" w:cs="Arial"/>
          <w:sz w:val="12"/>
          <w:szCs w:val="12"/>
        </w:rPr>
      </w:pPr>
    </w:p>
    <w:p w:rsidR="00992574" w:rsidRPr="007005DD" w:rsidRDefault="00992574" w:rsidP="007005DD">
      <w:pPr>
        <w:tabs>
          <w:tab w:val="left" w:pos="6490"/>
        </w:tabs>
      </w:pPr>
    </w:p>
    <w:sectPr w:rsidR="00992574" w:rsidRPr="007005DD" w:rsidSect="0073257A">
      <w:headerReference w:type="default" r:id="rId10"/>
      <w:foot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0E7" w:rsidRDefault="007910E7" w:rsidP="00AE1A3E">
      <w:pPr>
        <w:spacing w:after="0" w:line="240" w:lineRule="auto"/>
      </w:pPr>
      <w:r>
        <w:separator/>
      </w:r>
    </w:p>
  </w:endnote>
  <w:endnote w:type="continuationSeparator" w:id="0">
    <w:p w:rsidR="007910E7" w:rsidRDefault="007910E7" w:rsidP="00AE1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A3E" w:rsidRPr="00AE1A3E" w:rsidRDefault="00D66CB0" w:rsidP="00AE1A3E">
    <w:pPr>
      <w:pStyle w:val="Piedepgina"/>
    </w:pPr>
    <w:r w:rsidRPr="00D66CB0">
      <w:rPr>
        <w:noProof/>
        <w:lang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1739265</wp:posOffset>
          </wp:positionH>
          <wp:positionV relativeFrom="paragraph">
            <wp:posOffset>-522605</wp:posOffset>
          </wp:positionV>
          <wp:extent cx="4594535" cy="561975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453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1A3E" w:rsidRPr="00AE1A3E"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-1132205</wp:posOffset>
          </wp:positionV>
          <wp:extent cx="3467100" cy="188595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188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0E7" w:rsidRDefault="007910E7" w:rsidP="00AE1A3E">
      <w:pPr>
        <w:spacing w:after="0" w:line="240" w:lineRule="auto"/>
      </w:pPr>
      <w:r>
        <w:separator/>
      </w:r>
    </w:p>
  </w:footnote>
  <w:footnote w:type="continuationSeparator" w:id="0">
    <w:p w:rsidR="007910E7" w:rsidRDefault="007910E7" w:rsidP="00AE1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1A3E" w:rsidRDefault="00D66CB0">
    <w:pPr>
      <w:pStyle w:val="Encabezado"/>
    </w:pPr>
    <w:r w:rsidRPr="00AE1A3E"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-794385</wp:posOffset>
          </wp:positionH>
          <wp:positionV relativeFrom="paragraph">
            <wp:posOffset>-192405</wp:posOffset>
          </wp:positionV>
          <wp:extent cx="973455" cy="9525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345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A3E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3952875</wp:posOffset>
          </wp:positionH>
          <wp:positionV relativeFrom="paragraph">
            <wp:posOffset>7620</wp:posOffset>
          </wp:positionV>
          <wp:extent cx="3829050" cy="721995"/>
          <wp:effectExtent l="0" t="0" r="0" b="1905"/>
          <wp:wrapThrough wrapText="bothSides">
            <wp:wrapPolygon edited="0">
              <wp:start x="21063" y="0"/>
              <wp:lineTo x="1504" y="2850"/>
              <wp:lineTo x="1504" y="7979"/>
              <wp:lineTo x="0" y="9689"/>
              <wp:lineTo x="0" y="14818"/>
              <wp:lineTo x="7630" y="18237"/>
              <wp:lineTo x="7630" y="18807"/>
              <wp:lineTo x="21170" y="21087"/>
              <wp:lineTo x="21493" y="21087"/>
              <wp:lineTo x="21493" y="0"/>
              <wp:lineTo x="21063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905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1A3E">
      <w:t xml:space="preserve">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3E"/>
    <w:rsid w:val="000746A2"/>
    <w:rsid w:val="000E5625"/>
    <w:rsid w:val="000E692A"/>
    <w:rsid w:val="000F7AB5"/>
    <w:rsid w:val="001352F4"/>
    <w:rsid w:val="00154386"/>
    <w:rsid w:val="00230DF8"/>
    <w:rsid w:val="00286240"/>
    <w:rsid w:val="002D0554"/>
    <w:rsid w:val="002E4FC2"/>
    <w:rsid w:val="002E7A07"/>
    <w:rsid w:val="002F5EC9"/>
    <w:rsid w:val="003263BB"/>
    <w:rsid w:val="00383ABD"/>
    <w:rsid w:val="00424B3B"/>
    <w:rsid w:val="004849C4"/>
    <w:rsid w:val="004C3BCA"/>
    <w:rsid w:val="004D722D"/>
    <w:rsid w:val="00555D87"/>
    <w:rsid w:val="00597273"/>
    <w:rsid w:val="005B0E61"/>
    <w:rsid w:val="006B385C"/>
    <w:rsid w:val="006F0677"/>
    <w:rsid w:val="007005DD"/>
    <w:rsid w:val="00713534"/>
    <w:rsid w:val="0073257A"/>
    <w:rsid w:val="0074419A"/>
    <w:rsid w:val="007910E7"/>
    <w:rsid w:val="00823A7D"/>
    <w:rsid w:val="008707F5"/>
    <w:rsid w:val="008A43F9"/>
    <w:rsid w:val="008D2449"/>
    <w:rsid w:val="00903BF1"/>
    <w:rsid w:val="00920670"/>
    <w:rsid w:val="00992574"/>
    <w:rsid w:val="009F1C17"/>
    <w:rsid w:val="00A81FB0"/>
    <w:rsid w:val="00AE1A3E"/>
    <w:rsid w:val="00BA3ADB"/>
    <w:rsid w:val="00BE7455"/>
    <w:rsid w:val="00C347CF"/>
    <w:rsid w:val="00C71015"/>
    <w:rsid w:val="00D049E2"/>
    <w:rsid w:val="00D14277"/>
    <w:rsid w:val="00D31CA5"/>
    <w:rsid w:val="00D37035"/>
    <w:rsid w:val="00D42565"/>
    <w:rsid w:val="00D66CB0"/>
    <w:rsid w:val="00D74BCA"/>
    <w:rsid w:val="00E5647F"/>
    <w:rsid w:val="00F958E1"/>
    <w:rsid w:val="00FA600E"/>
    <w:rsid w:val="00FE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9EBA262-D8C4-4F0E-BD85-DCA3C865E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E1A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1A3E"/>
  </w:style>
  <w:style w:type="paragraph" w:styleId="Piedepgina">
    <w:name w:val="footer"/>
    <w:basedOn w:val="Normal"/>
    <w:link w:val="PiedepginaCar"/>
    <w:uiPriority w:val="99"/>
    <w:unhideWhenUsed/>
    <w:rsid w:val="00AE1A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A3E"/>
  </w:style>
  <w:style w:type="paragraph" w:styleId="Textodeglobo">
    <w:name w:val="Balloon Text"/>
    <w:basedOn w:val="Normal"/>
    <w:link w:val="TextodegloboCar"/>
    <w:uiPriority w:val="99"/>
    <w:semiHidden/>
    <w:unhideWhenUsed/>
    <w:rsid w:val="00903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3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2010329694703658E-2"/>
          <c:y val="8.3580342970962604E-2"/>
          <c:w val="0.81597934061059274"/>
          <c:h val="0.75905802288547919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1.375032346308829E-2"/>
                  <c:y val="-5.7950266098160655E-4"/>
                </c:manualLayout>
              </c:layout>
              <c:tx>
                <c:rich>
                  <a:bodyPr/>
                  <a:lstStyle/>
                  <a:p>
                    <a:pPr>
                      <a:defRPr sz="3200"/>
                    </a:pPr>
                    <a:r>
                      <a:rPr lang="en-US" sz="24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550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B374-45D2-9432-2C8891B75318}"/>
                </c:ext>
                <c:ext xmlns:c15="http://schemas.microsoft.com/office/drawing/2012/chart" uri="{CE6537A1-D6FC-4f65-9D91-7224C49458BB}">
                  <c15:layout>
                    <c:manualLayout>
                      <c:w val="0.21236753856472165"/>
                      <c:h val="0.1757841337026547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[Libro1]Hoja1!$G$11</c:f>
              <c:numCache>
                <c:formatCode>General</c:formatCode>
                <c:ptCount val="1"/>
                <c:pt idx="0">
                  <c:v>4573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374-45D2-9432-2C8891B753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0978773284407413E-2"/>
          <c:y val="5.0087796741584388E-2"/>
          <c:w val="0.8180424534311852"/>
          <c:h val="0.78397831632237525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explosion val="38"/>
            <c:extLst xmlns:c16r2="http://schemas.microsoft.com/office/drawing/2015/06/chart">
              <c:ext xmlns:c16="http://schemas.microsoft.com/office/drawing/2014/chart" uri="{C3380CC4-5D6E-409C-BE32-E72D297353CC}">
                <c16:uniqueId val="{00000001-CCD8-4A08-B88F-1EA54921B5D7}"/>
              </c:ext>
            </c:extLst>
          </c:dPt>
          <c:dLbls>
            <c:dLbl>
              <c:idx val="0"/>
              <c:layout>
                <c:manualLayout>
                  <c:x val="3.8804372754376575E-3"/>
                  <c:y val="-1.628882034622413E-7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en-US" sz="36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410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CD8-4A08-B88F-1EA54921B5D7}"/>
                </c:ext>
                <c:ext xmlns:c15="http://schemas.microsoft.com/office/drawing/2012/chart" uri="{CE6537A1-D6FC-4f65-9D91-7224C49458BB}">
                  <c15:layout>
                    <c:manualLayout>
                      <c:w val="0.23106796116504855"/>
                      <c:h val="0.19907407407407407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[Libro1]Hoja1!$J$11</c:f>
              <c:numCache>
                <c:formatCode>General</c:formatCode>
                <c:ptCount val="1"/>
                <c:pt idx="0">
                  <c:v>107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CD8-4A08-B88F-1EA54921B5D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0218693593533355E-2"/>
          <c:y val="0.10985872667555902"/>
          <c:w val="0.82627357626808273"/>
          <c:h val="0.79485449564706057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explosion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1-F768-404D-9936-6066A6DE1E38}"/>
              </c:ext>
            </c:extLst>
          </c:dPt>
          <c:dLbls>
            <c:dLbl>
              <c:idx val="0"/>
              <c:layout>
                <c:manualLayout>
                  <c:x val="1.383402656063341E-3"/>
                  <c:y val="1.287523485793784E-2"/>
                </c:manualLayout>
              </c:layout>
              <c:tx>
                <c:rich>
                  <a:bodyPr/>
                  <a:lstStyle/>
                  <a:p>
                    <a:r>
                      <a:rPr lang="en-US" sz="3600">
                        <a:latin typeface="Arial" panose="020B0604020202020204" pitchFamily="34" charset="0"/>
                        <a:cs typeface="Arial" panose="020B0604020202020204" pitchFamily="34" charset="0"/>
                      </a:rPr>
                      <a:t>195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768-404D-9936-6066A6DE1E38}"/>
                </c:ex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val>
            <c:numRef>
              <c:f>[Libro1]Hoja1!$H$9</c:f>
              <c:numCache>
                <c:formatCode>General</c:formatCode>
                <c:ptCount val="1"/>
                <c:pt idx="0">
                  <c:v>681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768-404D-9936-6066A6DE1E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C4FE4-FCEC-466B-B4E9-D02ED231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525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2</cp:revision>
  <cp:lastPrinted>2022-05-02T18:14:00Z</cp:lastPrinted>
  <dcterms:created xsi:type="dcterms:W3CDTF">2022-05-25T15:21:00Z</dcterms:created>
  <dcterms:modified xsi:type="dcterms:W3CDTF">2022-05-25T15:21:00Z</dcterms:modified>
</cp:coreProperties>
</file>