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A31302" w:rsidP="00E81A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Subdirección de Prevención Social del Delito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468BC" w:rsidP="00E81A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Red Comuna Segura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468BC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F43F6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9468B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9260EA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0C1859" w:rsidRDefault="000C1859" w:rsidP="00FB4591">
            <w:pPr>
              <w:jc w:val="both"/>
              <w:rPr>
                <w:b/>
              </w:rPr>
            </w:pPr>
            <w:r>
              <w:rPr>
                <w:b/>
              </w:rPr>
              <w:t>Reforzar la transversalidad de las instituciones públicas y privadas para t</w:t>
            </w:r>
            <w:r w:rsidR="009E6E95">
              <w:rPr>
                <w:b/>
              </w:rPr>
              <w:t xml:space="preserve">rabajar por la reconstrucción del </w:t>
            </w:r>
            <w:r w:rsidR="009439DC">
              <w:rPr>
                <w:b/>
              </w:rPr>
              <w:t xml:space="preserve"> tejido Social </w:t>
            </w:r>
            <w:r>
              <w:rPr>
                <w:b/>
              </w:rPr>
              <w:t>y familia</w:t>
            </w:r>
            <w:r w:rsidR="00927667">
              <w:rPr>
                <w:b/>
              </w:rPr>
              <w:t>r</w:t>
            </w:r>
            <w:r w:rsidR="0064613C">
              <w:rPr>
                <w:b/>
              </w:rPr>
              <w:t>,</w:t>
            </w:r>
            <w:r w:rsidR="00714C3D">
              <w:rPr>
                <w:b/>
              </w:rPr>
              <w:t xml:space="preserve"> </w:t>
            </w:r>
            <w:r w:rsidR="00FF6DD5">
              <w:rPr>
                <w:b/>
              </w:rPr>
              <w:t>ya que las poblacio</w:t>
            </w:r>
            <w:r w:rsidR="00927667">
              <w:rPr>
                <w:b/>
              </w:rPr>
              <w:t xml:space="preserve">nes son cada día más vulnerables   a </w:t>
            </w:r>
            <w:r w:rsidR="00FF6DD5">
              <w:rPr>
                <w:b/>
              </w:rPr>
              <w:t xml:space="preserve"> la delincuencia</w:t>
            </w:r>
            <w:r w:rsidR="002834A5">
              <w:rPr>
                <w:b/>
              </w:rPr>
              <w:t xml:space="preserve"> e </w:t>
            </w:r>
            <w:r w:rsidR="007C2E3D">
              <w:rPr>
                <w:b/>
              </w:rPr>
              <w:t xml:space="preserve"> inseguridad comunitaria.</w:t>
            </w:r>
          </w:p>
          <w:p w:rsidR="00184C78" w:rsidRPr="00A35AE4" w:rsidRDefault="00184C78" w:rsidP="00927667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439DC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03490C" w:rsidP="00F15FE7">
            <w:pPr>
              <w:jc w:val="both"/>
              <w:rPr>
                <w:b/>
              </w:rPr>
            </w:pPr>
            <w:r>
              <w:rPr>
                <w:b/>
              </w:rPr>
              <w:t>Implementar la participación ciudadana desde una visión integral e intersectorial con el propósito de trabajar de manera transversal entre los tres órdenes</w:t>
            </w:r>
            <w:r w:rsidR="006F43F6">
              <w:rPr>
                <w:b/>
              </w:rPr>
              <w:t xml:space="preserve"> de gobierno, </w:t>
            </w:r>
            <w:r w:rsidR="00937200">
              <w:rPr>
                <w:b/>
              </w:rPr>
              <w:t>así</w:t>
            </w:r>
            <w:r w:rsidR="006F43F6">
              <w:rPr>
                <w:b/>
              </w:rPr>
              <w:t xml:space="preserve"> como con </w:t>
            </w:r>
            <w:r w:rsidR="001F3FD6">
              <w:rPr>
                <w:b/>
              </w:rPr>
              <w:t xml:space="preserve">empresas, instituciones religiosas, </w:t>
            </w:r>
            <w:r w:rsidR="006F43F6">
              <w:rPr>
                <w:b/>
              </w:rPr>
              <w:t xml:space="preserve"> universidades</w:t>
            </w:r>
            <w:r w:rsidR="00937200">
              <w:rPr>
                <w:b/>
              </w:rPr>
              <w:t>, instituciones públicas y privadas</w:t>
            </w:r>
            <w:r w:rsidR="00AD4A97">
              <w:rPr>
                <w:b/>
              </w:rPr>
              <w:t xml:space="preserve">; afín de realizar acciones encaminadas a prevenir los delitos y abonar a la elaboración de propuestas en materia de prevención social del delito.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D21F0">
                <w:pPr>
                  <w:rPr>
                    <w:b/>
                  </w:rPr>
                </w:pPr>
                <w:r>
                  <w:rPr>
                    <w:b/>
                  </w:rPr>
                  <w:t>5.4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213B8C" w:rsidRPr="00594611" w:rsidRDefault="00B117A1" w:rsidP="00594611">
            <w:pPr>
              <w:jc w:val="both"/>
              <w:rPr>
                <w:b/>
              </w:rPr>
            </w:pPr>
            <w:r w:rsidRPr="00594611">
              <w:rPr>
                <w:b/>
              </w:rPr>
              <w:t>El enfoque se realiza desde la acción de INTERVENCION  ya q</w:t>
            </w:r>
            <w:r w:rsidR="00267197">
              <w:rPr>
                <w:b/>
              </w:rPr>
              <w:t>ue la Red Comuna Segura  incentiva</w:t>
            </w:r>
            <w:r w:rsidRPr="00594611">
              <w:rPr>
                <w:b/>
              </w:rPr>
              <w:t xml:space="preserve"> la parti</w:t>
            </w:r>
            <w:r w:rsidR="0039556C">
              <w:rPr>
                <w:b/>
              </w:rPr>
              <w:t>cipación activa de la población</w:t>
            </w:r>
            <w:r w:rsidRPr="00594611">
              <w:rPr>
                <w:b/>
              </w:rPr>
              <w:t>, con el fin de trabajar desde la prevención primaria en materia de prevención social del delito.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946E7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FF3786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FF3786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FF3786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FF3786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FF3786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FF3786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133A0E" w:rsidRDefault="00267197" w:rsidP="00267197">
            <w:pPr>
              <w:jc w:val="both"/>
              <w:rPr>
                <w:b/>
              </w:rPr>
            </w:pPr>
            <w:r>
              <w:rPr>
                <w:b/>
              </w:rPr>
              <w:t xml:space="preserve">Contribuye </w:t>
            </w:r>
            <w:r w:rsidR="00593632">
              <w:rPr>
                <w:b/>
              </w:rPr>
              <w:t>al</w:t>
            </w:r>
            <w:r w:rsidR="00604DF5" w:rsidRPr="00133A0E">
              <w:rPr>
                <w:b/>
              </w:rPr>
              <w:t xml:space="preserve"> enfoque de </w:t>
            </w:r>
            <w:r>
              <w:rPr>
                <w:b/>
              </w:rPr>
              <w:t xml:space="preserve">la Seguridad Humana  </w:t>
            </w:r>
            <w:r w:rsidR="001F3576">
              <w:rPr>
                <w:b/>
              </w:rPr>
              <w:t>ya que permite garantizar  la  paz y</w:t>
            </w:r>
            <w:r w:rsidR="00604DF5" w:rsidRPr="00133A0E">
              <w:rPr>
                <w:b/>
              </w:rPr>
              <w:t xml:space="preserve"> la tranquilidad de vivir y sobrevivir en una socie</w:t>
            </w:r>
            <w:r w:rsidR="008D21F0" w:rsidRPr="00133A0E">
              <w:rPr>
                <w:b/>
              </w:rPr>
              <w:t>dad</w:t>
            </w:r>
            <w:r w:rsidR="001F3576">
              <w:rPr>
                <w:b/>
              </w:rPr>
              <w:t>,</w:t>
            </w:r>
            <w:r w:rsidR="008D21F0" w:rsidRPr="00133A0E">
              <w:rPr>
                <w:b/>
              </w:rPr>
              <w:t xml:space="preserve"> </w:t>
            </w:r>
            <w:r w:rsidR="00604DF5" w:rsidRPr="00133A0E">
              <w:rPr>
                <w:b/>
              </w:rPr>
              <w:t xml:space="preserve"> ya que todo individuo</w:t>
            </w:r>
            <w:r w:rsidR="000F3DF0" w:rsidRPr="00133A0E">
              <w:rPr>
                <w:b/>
              </w:rPr>
              <w:t xml:space="preserve"> deberá desarrollarse en un entorno de seguridad </w:t>
            </w:r>
            <w:r w:rsidR="00F26318" w:rsidRPr="00133A0E">
              <w:rPr>
                <w:b/>
              </w:rPr>
              <w:t>personal y comunitaria</w:t>
            </w:r>
            <w:r w:rsidR="00D24F50" w:rsidRPr="00133A0E">
              <w:rPr>
                <w:b/>
              </w:rPr>
              <w:t>; para garantizar la libertad y la participación ciuda</w:t>
            </w:r>
            <w:r w:rsidR="00CC6771">
              <w:rPr>
                <w:b/>
              </w:rPr>
              <w:t>dana como parte de su identidad.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AD6CFC" w:rsidRPr="003C0A83" w:rsidRDefault="00AD6CFC" w:rsidP="00AD6C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3C0A83">
              <w:rPr>
                <w:b/>
              </w:rPr>
              <w:t>.- D</w:t>
            </w:r>
            <w:r w:rsidR="00F107D8" w:rsidRPr="003C0A83">
              <w:rPr>
                <w:b/>
              </w:rPr>
              <w:t xml:space="preserve">etección de instituciones públicas, privadas, asociaciones civiles, empresas privadas, </w:t>
            </w:r>
            <w:r w:rsidR="00EB38FC" w:rsidRPr="003C0A83">
              <w:rPr>
                <w:b/>
              </w:rPr>
              <w:t>universidades</w:t>
            </w:r>
            <w:r w:rsidR="008405F3" w:rsidRPr="003C0A83">
              <w:rPr>
                <w:b/>
              </w:rPr>
              <w:t xml:space="preserve"> y del ámbito religioso</w:t>
            </w:r>
            <w:r w:rsidRPr="003C0A83">
              <w:rPr>
                <w:b/>
              </w:rPr>
              <w:t>.</w:t>
            </w:r>
          </w:p>
          <w:p w:rsidR="002A725D" w:rsidRPr="003C0A83" w:rsidRDefault="00C544B2" w:rsidP="00AD6CFC">
            <w:pPr>
              <w:jc w:val="both"/>
              <w:rPr>
                <w:b/>
              </w:rPr>
            </w:pPr>
            <w:r w:rsidRPr="003C0A83">
              <w:rPr>
                <w:b/>
              </w:rPr>
              <w:t xml:space="preserve"> </w:t>
            </w:r>
            <w:r w:rsidR="00AD6CFC" w:rsidRPr="003C0A83">
              <w:rPr>
                <w:b/>
              </w:rPr>
              <w:t xml:space="preserve">2.- </w:t>
            </w:r>
            <w:r w:rsidR="002A725D" w:rsidRPr="003C0A83">
              <w:rPr>
                <w:b/>
              </w:rPr>
              <w:t>Constitución</w:t>
            </w:r>
            <w:r w:rsidRPr="003C0A83">
              <w:rPr>
                <w:b/>
              </w:rPr>
              <w:t xml:space="preserve"> de </w:t>
            </w:r>
            <w:r w:rsidR="002A725D" w:rsidRPr="003C0A83">
              <w:rPr>
                <w:b/>
              </w:rPr>
              <w:t xml:space="preserve">mesas de </w:t>
            </w:r>
            <w:r w:rsidRPr="003C0A83">
              <w:rPr>
                <w:b/>
              </w:rPr>
              <w:t>trabajo:</w:t>
            </w:r>
            <w:r w:rsidR="008409E1" w:rsidRPr="003C0A83">
              <w:rPr>
                <w:b/>
              </w:rPr>
              <w:t xml:space="preserve"> Participación Ciudadana, Educación cultura y deportes, Grupos vulnerables, Equidad y género, Desarrollo de Niños niñas y adolescentes</w:t>
            </w:r>
          </w:p>
          <w:p w:rsidR="00B10EF4" w:rsidRDefault="002A725D" w:rsidP="00AD6CFC">
            <w:pPr>
              <w:jc w:val="both"/>
              <w:rPr>
                <w:b/>
              </w:rPr>
            </w:pPr>
            <w:r w:rsidRPr="003C0A83">
              <w:rPr>
                <w:b/>
              </w:rPr>
              <w:t xml:space="preserve">3.- </w:t>
            </w:r>
            <w:r w:rsidR="007B7454" w:rsidRPr="003C0A83">
              <w:rPr>
                <w:b/>
              </w:rPr>
              <w:t xml:space="preserve"> </w:t>
            </w:r>
            <w:r w:rsidR="00CE70A5">
              <w:rPr>
                <w:b/>
              </w:rPr>
              <w:t xml:space="preserve">Integración de las instituciones  </w:t>
            </w:r>
            <w:r w:rsidR="00B10EF4">
              <w:rPr>
                <w:b/>
              </w:rPr>
              <w:t xml:space="preserve">de cada </w:t>
            </w:r>
            <w:r w:rsidR="00CE70A5">
              <w:rPr>
                <w:b/>
              </w:rPr>
              <w:t xml:space="preserve"> mesa de trabajo</w:t>
            </w:r>
          </w:p>
          <w:p w:rsidR="00B10EF4" w:rsidRDefault="00B10EF4" w:rsidP="00AD6CFC">
            <w:pPr>
              <w:jc w:val="both"/>
              <w:rPr>
                <w:b/>
              </w:rPr>
            </w:pPr>
            <w:r>
              <w:rPr>
                <w:b/>
              </w:rPr>
              <w:t>4.- Se realizan reuniones periódicas por cada mesa de trabajo</w:t>
            </w:r>
          </w:p>
          <w:p w:rsidR="00005DB3" w:rsidRDefault="00B10EF4" w:rsidP="00AD6CFC">
            <w:pPr>
              <w:jc w:val="both"/>
              <w:rPr>
                <w:b/>
              </w:rPr>
            </w:pPr>
            <w:r>
              <w:rPr>
                <w:b/>
              </w:rPr>
              <w:t>5.- Se planifican acciones y tareas para la implementación de un evento comunitario seleccionando</w:t>
            </w:r>
            <w:r w:rsidR="00005DB3">
              <w:rPr>
                <w:b/>
              </w:rPr>
              <w:t xml:space="preserve"> las localidades de más vulnerabilidad</w:t>
            </w:r>
          </w:p>
          <w:p w:rsidR="007E0F52" w:rsidRPr="00AD6CFC" w:rsidRDefault="00005DB3" w:rsidP="00005DB3">
            <w:pPr>
              <w:jc w:val="both"/>
              <w:rPr>
                <w:b/>
              </w:rPr>
            </w:pPr>
            <w:r>
              <w:rPr>
                <w:b/>
              </w:rPr>
              <w:t>6.- Ejecución del evento comunitarios (aplicando programas preventivos y una feria de servicios)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E2F6C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  <w:p w:rsidR="000E2F6C" w:rsidRDefault="000E2F6C" w:rsidP="000E2F6C"/>
          <w:p w:rsidR="000026DB" w:rsidRPr="000E2F6C" w:rsidRDefault="000026DB" w:rsidP="000E2F6C">
            <w:pPr>
              <w:jc w:val="right"/>
            </w:pPr>
          </w:p>
        </w:tc>
        <w:tc>
          <w:tcPr>
            <w:tcW w:w="3430" w:type="dxa"/>
          </w:tcPr>
          <w:p w:rsidR="000026DB" w:rsidRDefault="000026DB" w:rsidP="00940090">
            <w:pPr>
              <w:rPr>
                <w:b/>
              </w:rPr>
            </w:pPr>
          </w:p>
          <w:p w:rsidR="007E0F52" w:rsidRPr="00CC6771" w:rsidRDefault="00A95E80" w:rsidP="00A95E80">
            <w:pPr>
              <w:jc w:val="both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3E3641">
              <w:rPr>
                <w:b/>
              </w:rPr>
              <w:t>personas atendida</w:t>
            </w:r>
            <w:r>
              <w:rPr>
                <w:b/>
              </w:rPr>
              <w:t xml:space="preserve"> en </w:t>
            </w:r>
            <w:r>
              <w:rPr>
                <w:b/>
              </w:rPr>
              <w:t>Red Comuna Segura</w:t>
            </w:r>
          </w:p>
        </w:tc>
        <w:tc>
          <w:tcPr>
            <w:tcW w:w="3091" w:type="dxa"/>
          </w:tcPr>
          <w:p w:rsidR="00E81A92" w:rsidRDefault="00E81A92" w:rsidP="00836FF0">
            <w:pPr>
              <w:jc w:val="center"/>
              <w:rPr>
                <w:b/>
              </w:rPr>
            </w:pPr>
          </w:p>
          <w:p w:rsidR="000026DB" w:rsidRPr="009367AB" w:rsidRDefault="004B5AD6" w:rsidP="00836FF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82248">
              <w:rPr>
                <w:b/>
              </w:rPr>
              <w:t>Personas</w:t>
            </w:r>
            <w:r>
              <w:rPr>
                <w:b/>
              </w:rPr>
              <w:t xml:space="preserve"> atendidas</w:t>
            </w:r>
          </w:p>
        </w:tc>
        <w:tc>
          <w:tcPr>
            <w:tcW w:w="2957" w:type="dxa"/>
            <w:gridSpan w:val="2"/>
          </w:tcPr>
          <w:p w:rsidR="00E81A92" w:rsidRDefault="00E81A92" w:rsidP="00223976">
            <w:pPr>
              <w:jc w:val="both"/>
              <w:rPr>
                <w:b/>
              </w:rPr>
            </w:pPr>
          </w:p>
          <w:p w:rsidR="000026DB" w:rsidRPr="009367AB" w:rsidRDefault="00F67B25" w:rsidP="00A95E80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5E5B79" w:rsidRPr="00775D57" w:rsidRDefault="005E5B79" w:rsidP="00DE19D1">
            <w:pPr>
              <w:rPr>
                <w:b/>
              </w:rPr>
            </w:pPr>
          </w:p>
          <w:p w:rsidR="000318E3" w:rsidRDefault="00A95E80" w:rsidP="00F41577">
            <w:pPr>
              <w:jc w:val="both"/>
              <w:rPr>
                <w:b/>
              </w:rPr>
            </w:pPr>
            <w:r>
              <w:rPr>
                <w:b/>
              </w:rPr>
              <w:t xml:space="preserve">Porcentaje </w:t>
            </w:r>
            <w:r w:rsidR="00F41577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="00F41577">
              <w:rPr>
                <w:b/>
              </w:rPr>
              <w:t>adolescentes atendidos que habitan en zonas de vulnerabilidad</w:t>
            </w:r>
          </w:p>
          <w:p w:rsidR="003E3641" w:rsidRDefault="003E3641" w:rsidP="00F41577">
            <w:pPr>
              <w:jc w:val="both"/>
              <w:rPr>
                <w:b/>
              </w:rPr>
            </w:pPr>
          </w:p>
          <w:p w:rsidR="003E3641" w:rsidRPr="00F41577" w:rsidRDefault="003E3641" w:rsidP="00F41577">
            <w:pPr>
              <w:jc w:val="both"/>
              <w:rPr>
                <w:b/>
              </w:rPr>
            </w:pPr>
            <w:r>
              <w:rPr>
                <w:b/>
              </w:rPr>
              <w:t>Porcentaje de avances de mujeres en situación de violencia</w:t>
            </w:r>
          </w:p>
        </w:tc>
        <w:tc>
          <w:tcPr>
            <w:tcW w:w="3091" w:type="dxa"/>
          </w:tcPr>
          <w:p w:rsidR="00FE6BB0" w:rsidRDefault="00FE6BB0" w:rsidP="009367AB">
            <w:pPr>
              <w:jc w:val="center"/>
              <w:rPr>
                <w:b/>
              </w:rPr>
            </w:pPr>
          </w:p>
          <w:p w:rsidR="00085C22" w:rsidRPr="00CC6771" w:rsidRDefault="00085C22" w:rsidP="00CC6771">
            <w:pPr>
              <w:jc w:val="both"/>
              <w:rPr>
                <w:b/>
              </w:rPr>
            </w:pPr>
          </w:p>
          <w:p w:rsidR="001B4585" w:rsidRPr="003E3641" w:rsidRDefault="003E3641" w:rsidP="003E364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Adolescentes atendidos</w:t>
            </w:r>
          </w:p>
          <w:p w:rsidR="001B4585" w:rsidRPr="003E3641" w:rsidRDefault="003E3641" w:rsidP="003E364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3A0E" w:rsidRDefault="003E3641" w:rsidP="00461E3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Mujeres atendidas</w:t>
            </w:r>
          </w:p>
          <w:p w:rsidR="000318E3" w:rsidRPr="00461E3A" w:rsidRDefault="000318E3" w:rsidP="003E3641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461E3A" w:rsidRDefault="00461E3A" w:rsidP="003D0482">
            <w:pPr>
              <w:jc w:val="center"/>
              <w:rPr>
                <w:b/>
              </w:rPr>
            </w:pPr>
          </w:p>
          <w:p w:rsidR="003E3641" w:rsidRDefault="003E3641" w:rsidP="003E3641">
            <w:pPr>
              <w:jc w:val="both"/>
              <w:rPr>
                <w:b/>
              </w:rPr>
            </w:pPr>
          </w:p>
          <w:p w:rsidR="00FE6BB0" w:rsidRPr="003E3641" w:rsidRDefault="003E3641" w:rsidP="00A95E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ad</w:t>
            </w:r>
            <w:r w:rsidRPr="003E3641">
              <w:rPr>
                <w:b/>
              </w:rPr>
              <w:t>olescentes atendidos</w:t>
            </w:r>
          </w:p>
          <w:p w:rsidR="003E3641" w:rsidRDefault="003E3641" w:rsidP="00A95E80">
            <w:pPr>
              <w:pStyle w:val="Prrafodelista"/>
              <w:jc w:val="both"/>
              <w:rPr>
                <w:b/>
              </w:rPr>
            </w:pPr>
            <w:bookmarkStart w:id="0" w:name="_GoBack"/>
            <w:bookmarkEnd w:id="0"/>
          </w:p>
          <w:p w:rsidR="003F400D" w:rsidRPr="00A95E80" w:rsidRDefault="003E3641" w:rsidP="00A95E80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A95E80">
              <w:rPr>
                <w:b/>
              </w:rPr>
              <w:t xml:space="preserve">Mujeres </w:t>
            </w:r>
            <w:r w:rsidR="000318E3" w:rsidRPr="00A95E80">
              <w:rPr>
                <w:b/>
              </w:rPr>
              <w:t>atendidas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09"/>
        <w:gridCol w:w="756"/>
        <w:gridCol w:w="957"/>
        <w:gridCol w:w="897"/>
        <w:gridCol w:w="750"/>
        <w:gridCol w:w="737"/>
        <w:gridCol w:w="701"/>
        <w:gridCol w:w="560"/>
        <w:gridCol w:w="679"/>
        <w:gridCol w:w="661"/>
        <w:gridCol w:w="648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A0ED1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7A0ED1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A0ED1">
        <w:trPr>
          <w:trHeight w:val="57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44EA1" w:rsidP="000026DB">
            <w:pPr>
              <w:tabs>
                <w:tab w:val="left" w:pos="900"/>
              </w:tabs>
            </w:pPr>
            <w:r>
              <w:t>Sesiones ordinarias de mesas de Trabajo</w:t>
            </w:r>
          </w:p>
        </w:tc>
        <w:tc>
          <w:tcPr>
            <w:tcW w:w="28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C44EA1" w:rsidP="000026DB">
            <w:pPr>
              <w:tabs>
                <w:tab w:val="left" w:pos="900"/>
              </w:tabs>
            </w:pPr>
            <w:r>
              <w:t>Detección de Comunidades a intervenir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241F18" w:rsidP="000026DB">
            <w:pPr>
              <w:tabs>
                <w:tab w:val="left" w:pos="900"/>
              </w:tabs>
            </w:pPr>
            <w:r>
              <w:t>Planificación de los Eventos Comunitarios</w:t>
            </w:r>
            <w:r w:rsidR="00054723">
              <w:t xml:space="preserve"> por mesa de trabajo</w:t>
            </w:r>
          </w:p>
        </w:tc>
        <w:tc>
          <w:tcPr>
            <w:tcW w:w="287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970F0C" w:rsidRPr="00970F0C" w:rsidRDefault="00970F0C" w:rsidP="00755970">
            <w:pPr>
              <w:jc w:val="both"/>
              <w:rPr>
                <w:b/>
              </w:rPr>
            </w:pPr>
            <w:r>
              <w:t xml:space="preserve">Ejecución de evento comunitario derivada de la mesa de trabajo de </w:t>
            </w:r>
            <w:r w:rsidRPr="00970F0C">
              <w:rPr>
                <w:b/>
              </w:rPr>
              <w:t xml:space="preserve"> Educación, cultura y deportes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9F2281" w:rsidRPr="00970F0C" w:rsidRDefault="009F2281" w:rsidP="009F2281">
            <w:pPr>
              <w:jc w:val="both"/>
              <w:rPr>
                <w:b/>
              </w:rPr>
            </w:pPr>
            <w:r>
              <w:t xml:space="preserve">Ejecución de evento comunitario derivada de la mesa de trabajo de </w:t>
            </w:r>
            <w:r w:rsidRPr="00970F0C">
              <w:rPr>
                <w:b/>
              </w:rPr>
              <w:t xml:space="preserve"> </w:t>
            </w:r>
            <w:r>
              <w:rPr>
                <w:b/>
              </w:rPr>
              <w:t>Participación Ciudadana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C875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6F584B" w:rsidRPr="006F584B" w:rsidRDefault="009F2281" w:rsidP="006F584B">
            <w:pPr>
              <w:rPr>
                <w:b/>
              </w:rPr>
            </w:pPr>
            <w:r>
              <w:t xml:space="preserve">Ejecución de evento comunitario derivada de la mesa de trabajo de </w:t>
            </w:r>
            <w:r w:rsidRPr="006F584B">
              <w:rPr>
                <w:b/>
              </w:rPr>
              <w:t xml:space="preserve"> </w:t>
            </w:r>
            <w:r w:rsidR="006F584B" w:rsidRPr="006F584B">
              <w:rPr>
                <w:b/>
              </w:rPr>
              <w:t>Desarrollo de niños, niñas y adolescentes</w:t>
            </w:r>
          </w:p>
          <w:p w:rsidR="000026DB" w:rsidRPr="00AC2D23" w:rsidRDefault="000026DB" w:rsidP="00AC2D23">
            <w:pPr>
              <w:jc w:val="both"/>
              <w:rPr>
                <w:b/>
              </w:rPr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C875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9F2281" w:rsidRPr="00970F0C" w:rsidRDefault="009F2281" w:rsidP="009F2281">
            <w:pPr>
              <w:jc w:val="both"/>
              <w:rPr>
                <w:b/>
              </w:rPr>
            </w:pPr>
            <w:r>
              <w:t xml:space="preserve">Ejecución de evento comunitario derivada de la mesa de trabajo de </w:t>
            </w:r>
            <w:r w:rsidRPr="00970F0C">
              <w:rPr>
                <w:b/>
              </w:rPr>
              <w:t xml:space="preserve"> Educación, cultura y deportes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C875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107AFE" w:rsidRPr="006F584B" w:rsidRDefault="00107AFE" w:rsidP="00107AFE">
            <w:pPr>
              <w:rPr>
                <w:b/>
              </w:rPr>
            </w:pPr>
            <w:r>
              <w:t xml:space="preserve">Ejecución de evento comunitario derivada de la mesa de trabajo de </w:t>
            </w:r>
            <w:r w:rsidRPr="006F584B">
              <w:rPr>
                <w:b/>
              </w:rPr>
              <w:t xml:space="preserve"> </w:t>
            </w:r>
            <w:r>
              <w:rPr>
                <w:b/>
              </w:rPr>
              <w:t>Grupos Vulnerables</w:t>
            </w:r>
          </w:p>
          <w:p w:rsidR="000026DB" w:rsidRPr="000026DB" w:rsidRDefault="000026DB" w:rsidP="00C875F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107AF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C02"/>
    <w:multiLevelType w:val="hybridMultilevel"/>
    <w:tmpl w:val="B448B8F6"/>
    <w:lvl w:ilvl="0" w:tplc="6128D7B4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BF74F8"/>
    <w:multiLevelType w:val="hybridMultilevel"/>
    <w:tmpl w:val="9698BF5E"/>
    <w:lvl w:ilvl="0" w:tplc="C802A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9A"/>
    <w:multiLevelType w:val="hybridMultilevel"/>
    <w:tmpl w:val="F49CA8FA"/>
    <w:lvl w:ilvl="0" w:tplc="CE46E87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1D94"/>
    <w:multiLevelType w:val="hybridMultilevel"/>
    <w:tmpl w:val="106A1F08"/>
    <w:lvl w:ilvl="0" w:tplc="A36012F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5DB3"/>
    <w:rsid w:val="000318E3"/>
    <w:rsid w:val="0003490C"/>
    <w:rsid w:val="00034F00"/>
    <w:rsid w:val="00054723"/>
    <w:rsid w:val="000750D3"/>
    <w:rsid w:val="00085924"/>
    <w:rsid w:val="00085C22"/>
    <w:rsid w:val="000C0CD7"/>
    <w:rsid w:val="000C1859"/>
    <w:rsid w:val="000D22B6"/>
    <w:rsid w:val="000D70A1"/>
    <w:rsid w:val="000E2F6C"/>
    <w:rsid w:val="000E5468"/>
    <w:rsid w:val="000F3DF0"/>
    <w:rsid w:val="000F75C0"/>
    <w:rsid w:val="00107AFE"/>
    <w:rsid w:val="00133A0E"/>
    <w:rsid w:val="00160B64"/>
    <w:rsid w:val="00184C78"/>
    <w:rsid w:val="00186B4C"/>
    <w:rsid w:val="0019301E"/>
    <w:rsid w:val="001B4585"/>
    <w:rsid w:val="001F3576"/>
    <w:rsid w:val="001F3FD6"/>
    <w:rsid w:val="00213B8C"/>
    <w:rsid w:val="00223976"/>
    <w:rsid w:val="00241F18"/>
    <w:rsid w:val="00267197"/>
    <w:rsid w:val="002834A5"/>
    <w:rsid w:val="00291E1B"/>
    <w:rsid w:val="002A480D"/>
    <w:rsid w:val="002A725D"/>
    <w:rsid w:val="002D43E3"/>
    <w:rsid w:val="002E4A55"/>
    <w:rsid w:val="00322EE0"/>
    <w:rsid w:val="0035224B"/>
    <w:rsid w:val="00361047"/>
    <w:rsid w:val="003627CF"/>
    <w:rsid w:val="00391484"/>
    <w:rsid w:val="00393383"/>
    <w:rsid w:val="0039556C"/>
    <w:rsid w:val="003C0A83"/>
    <w:rsid w:val="003D0482"/>
    <w:rsid w:val="003E3641"/>
    <w:rsid w:val="003F400D"/>
    <w:rsid w:val="00404C1A"/>
    <w:rsid w:val="00414F64"/>
    <w:rsid w:val="00443A32"/>
    <w:rsid w:val="00456AF6"/>
    <w:rsid w:val="00461E3A"/>
    <w:rsid w:val="00466362"/>
    <w:rsid w:val="0049161A"/>
    <w:rsid w:val="004B2486"/>
    <w:rsid w:val="004B5AD6"/>
    <w:rsid w:val="004B60E4"/>
    <w:rsid w:val="004D6775"/>
    <w:rsid w:val="004F5A6A"/>
    <w:rsid w:val="00507DAF"/>
    <w:rsid w:val="00517738"/>
    <w:rsid w:val="00562F12"/>
    <w:rsid w:val="00587B4A"/>
    <w:rsid w:val="00593632"/>
    <w:rsid w:val="00594611"/>
    <w:rsid w:val="005B16DD"/>
    <w:rsid w:val="005B4CA7"/>
    <w:rsid w:val="005C3278"/>
    <w:rsid w:val="005D5E72"/>
    <w:rsid w:val="005E5B79"/>
    <w:rsid w:val="00604DF5"/>
    <w:rsid w:val="00645374"/>
    <w:rsid w:val="0064613C"/>
    <w:rsid w:val="00652BF8"/>
    <w:rsid w:val="00681B0C"/>
    <w:rsid w:val="00697E15"/>
    <w:rsid w:val="006B2880"/>
    <w:rsid w:val="006E7D9D"/>
    <w:rsid w:val="006F43F6"/>
    <w:rsid w:val="006F584B"/>
    <w:rsid w:val="00714C3D"/>
    <w:rsid w:val="00733A6F"/>
    <w:rsid w:val="00741DE0"/>
    <w:rsid w:val="00755970"/>
    <w:rsid w:val="00761DC3"/>
    <w:rsid w:val="00775D57"/>
    <w:rsid w:val="00782248"/>
    <w:rsid w:val="00784259"/>
    <w:rsid w:val="0079305F"/>
    <w:rsid w:val="007955F9"/>
    <w:rsid w:val="007A0ED1"/>
    <w:rsid w:val="007B5482"/>
    <w:rsid w:val="007B7454"/>
    <w:rsid w:val="007C2E3D"/>
    <w:rsid w:val="007E0F52"/>
    <w:rsid w:val="007F0BE7"/>
    <w:rsid w:val="00823C60"/>
    <w:rsid w:val="00831A1E"/>
    <w:rsid w:val="00832E41"/>
    <w:rsid w:val="00836FF0"/>
    <w:rsid w:val="008405F3"/>
    <w:rsid w:val="008409E1"/>
    <w:rsid w:val="00861543"/>
    <w:rsid w:val="00870814"/>
    <w:rsid w:val="008B7339"/>
    <w:rsid w:val="008C0048"/>
    <w:rsid w:val="008D21F0"/>
    <w:rsid w:val="009260EA"/>
    <w:rsid w:val="00927667"/>
    <w:rsid w:val="00930C1E"/>
    <w:rsid w:val="009367AB"/>
    <w:rsid w:val="00937200"/>
    <w:rsid w:val="00940090"/>
    <w:rsid w:val="009439DC"/>
    <w:rsid w:val="0094455E"/>
    <w:rsid w:val="009468BC"/>
    <w:rsid w:val="00946E77"/>
    <w:rsid w:val="00970F0C"/>
    <w:rsid w:val="00987FD7"/>
    <w:rsid w:val="009E6E95"/>
    <w:rsid w:val="009F2281"/>
    <w:rsid w:val="00A31302"/>
    <w:rsid w:val="00A35AE4"/>
    <w:rsid w:val="00A56F46"/>
    <w:rsid w:val="00A92CDB"/>
    <w:rsid w:val="00A94DBA"/>
    <w:rsid w:val="00A951DE"/>
    <w:rsid w:val="00A95E80"/>
    <w:rsid w:val="00A9779F"/>
    <w:rsid w:val="00AC2D23"/>
    <w:rsid w:val="00AD4A97"/>
    <w:rsid w:val="00AD6CFC"/>
    <w:rsid w:val="00B10EF4"/>
    <w:rsid w:val="00B117A1"/>
    <w:rsid w:val="00B60C44"/>
    <w:rsid w:val="00BA57CC"/>
    <w:rsid w:val="00BB49DD"/>
    <w:rsid w:val="00BE1BE0"/>
    <w:rsid w:val="00BE6C0F"/>
    <w:rsid w:val="00BF7E14"/>
    <w:rsid w:val="00C217B4"/>
    <w:rsid w:val="00C36622"/>
    <w:rsid w:val="00C44EA1"/>
    <w:rsid w:val="00C52AF0"/>
    <w:rsid w:val="00C544B2"/>
    <w:rsid w:val="00C875FF"/>
    <w:rsid w:val="00CC6771"/>
    <w:rsid w:val="00CE57CF"/>
    <w:rsid w:val="00CE70A5"/>
    <w:rsid w:val="00CF29C2"/>
    <w:rsid w:val="00D24F50"/>
    <w:rsid w:val="00D80ED5"/>
    <w:rsid w:val="00DA0CB5"/>
    <w:rsid w:val="00DA286E"/>
    <w:rsid w:val="00DE19D1"/>
    <w:rsid w:val="00DF154F"/>
    <w:rsid w:val="00E1254F"/>
    <w:rsid w:val="00E12C21"/>
    <w:rsid w:val="00E20015"/>
    <w:rsid w:val="00E658CA"/>
    <w:rsid w:val="00E7641B"/>
    <w:rsid w:val="00E77791"/>
    <w:rsid w:val="00E81A92"/>
    <w:rsid w:val="00EB38FC"/>
    <w:rsid w:val="00EE6935"/>
    <w:rsid w:val="00F107D8"/>
    <w:rsid w:val="00F11A8D"/>
    <w:rsid w:val="00F15FE7"/>
    <w:rsid w:val="00F1768C"/>
    <w:rsid w:val="00F23629"/>
    <w:rsid w:val="00F26318"/>
    <w:rsid w:val="00F41577"/>
    <w:rsid w:val="00F62DBE"/>
    <w:rsid w:val="00F67B25"/>
    <w:rsid w:val="00F8787F"/>
    <w:rsid w:val="00FB4591"/>
    <w:rsid w:val="00FE1EA5"/>
    <w:rsid w:val="00FE6BB0"/>
    <w:rsid w:val="00FE7040"/>
    <w:rsid w:val="00FF3786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E6CF0B"/>
  <w15:docId w15:val="{B81D4794-C01E-48F8-A91F-317E972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7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A71373"/>
    <w:rsid w:val="00B13AB1"/>
    <w:rsid w:val="00B5693F"/>
    <w:rsid w:val="00C53A1C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1373"/>
    <w:rPr>
      <w:color w:val="808080"/>
    </w:rPr>
  </w:style>
  <w:style w:type="paragraph" w:customStyle="1" w:styleId="D1999C9FB5FE4E409042332D7F6CE439">
    <w:name w:val="D1999C9FB5FE4E409042332D7F6CE439"/>
    <w:rsid w:val="00A71373"/>
  </w:style>
  <w:style w:type="paragraph" w:customStyle="1" w:styleId="CAAB8F9B0FE44F40A77D54EA5517270E">
    <w:name w:val="CAAB8F9B0FE44F40A77D54EA5517270E"/>
    <w:rsid w:val="00A71373"/>
  </w:style>
  <w:style w:type="paragraph" w:customStyle="1" w:styleId="37F6BD1BDFA44B7FBA218CB4CD08CD58">
    <w:name w:val="37F6BD1BDFA44B7FBA218CB4CD08CD58"/>
    <w:rsid w:val="00A71373"/>
  </w:style>
  <w:style w:type="paragraph" w:customStyle="1" w:styleId="6E9B3B6BD0E648AFAD31B513B3FEDF0C">
    <w:name w:val="6E9B3B6BD0E648AFAD31B513B3FEDF0C"/>
    <w:rsid w:val="00A7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10</TotalTime>
  <Pages>5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3</cp:revision>
  <dcterms:created xsi:type="dcterms:W3CDTF">2021-10-11T23:51:00Z</dcterms:created>
  <dcterms:modified xsi:type="dcterms:W3CDTF">2021-12-01T19:07:00Z</dcterms:modified>
</cp:coreProperties>
</file>