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/>
    <w:p>
      <w:r>
        <w:rPr>
          <w:b/>
          <w:sz w:val="44"/>
          <w:szCs w:val="44"/>
        </w:rPr>
        <w:t xml:space="preserve">Anexo de Planeación 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Educación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>2021 - 2022</w:t>
            </w:r>
          </w:p>
        </w:tc>
      </w:tr>
      <w:tr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Programa para Combatir el Rezago Educativo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/>
        </w:tc>
      </w:tr>
      <w:tr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  <w:p/>
        </w:tc>
      </w:tr>
      <w:tr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 xml:space="preserve">Del: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</w:rPr>
                  <w:t>Fecha</w:t>
                </w:r>
              </w:sdtContent>
            </w:sdt>
          </w:p>
          <w:p>
            <w:r>
              <w:rPr>
                <w:b/>
              </w:rPr>
              <w:t xml:space="preserve">Al: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>
        <w:trPr>
          <w:trHeight w:val="510"/>
        </w:trPr>
        <w:tc>
          <w:tcPr>
            <w:tcW w:w="1413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$500,000.00</w:t>
            </w:r>
          </w:p>
        </w:tc>
        <w:tc>
          <w:tcPr>
            <w:tcW w:w="1701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$500,000.00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2157" w:type="dxa"/>
            <w:vMerge/>
          </w:tcPr>
          <w:p/>
        </w:tc>
      </w:tr>
      <w:tr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El rezago educativo es uno de los principales problemas con los que se encuentra el sistema educativo en general, el apoyo o interés por parte de padres de familia, docentes y alumnos por tener una educación de calidad es baja, teniendo déficits en el aprendizaje, lo que ocasiona rezagos o deserción.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>
            <w:pPr>
              <w:rPr>
                <w:b/>
              </w:rPr>
            </w:pPr>
            <w:r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Content>
              <w:p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>
            <w:pPr>
              <w:rPr>
                <w:b/>
              </w:rPr>
            </w:pPr>
            <w:r>
              <w:rPr>
                <w:b/>
              </w:rPr>
              <w:t>Derivado de nuestro Plan Municipal de Desarrollo, la estrategia 1.4 La educación como derecho humano que reduce el rezago social, coadyuvando con las estancias de educación estatal y federal dentro del municipio a contribuir con la mejora y buen desarrollo educativo de los estudiantes de San Pedro Tlaquepaque.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>
            <w:pPr>
              <w:rPr>
                <w:b/>
              </w:rPr>
            </w:pPr>
            <w:r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Content>
              <w:p>
                <w:pPr>
                  <w:rPr>
                    <w:b/>
                  </w:rPr>
                </w:pPr>
                <w:r>
                  <w:rPr>
                    <w:b/>
                  </w:rPr>
                  <w:t>1.4</w:t>
                </w:r>
              </w:p>
            </w:sdtContent>
          </w:sdt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c>
          <w:tcPr>
            <w:tcW w:w="2830" w:type="dxa"/>
            <w:gridSpan w:val="4"/>
            <w:shd w:val="clear" w:color="auto" w:fill="F4B083" w:themeFill="accent2" w:themeFillTint="9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>La construcción del tejido social a través de la educación, como coadyuvante en el marco de sus atribuciones con las que cuenta esta dirección de Educación.</w:t>
            </w:r>
          </w:p>
        </w:tc>
      </w:tr>
      <w:tr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/>
        </w:tc>
      </w:tr>
      <w:tr>
        <w:trPr>
          <w:trHeight w:val="510"/>
        </w:trPr>
        <w:tc>
          <w:tcPr>
            <w:tcW w:w="89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/>
        </w:tc>
      </w:tr>
    </w:tbl>
    <w:p/>
    <w:p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>
            <w:pPr>
              <w:rPr>
                <w:b/>
              </w:rPr>
            </w:pPr>
            <w:r>
              <w:rPr>
                <w:b/>
              </w:rPr>
              <w:t>Contribución a Políticas Transversales</w:t>
            </w:r>
          </w:p>
          <w:p>
            <w:pPr>
              <w:rPr>
                <w:b/>
              </w:rPr>
            </w:pPr>
            <w:r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9" type="#_x0000_t75" style="width:139.5pt;height:25.5pt" o:ole="">
                  <v:imagedata r:id="rId10" o:title=""/>
                </v:shape>
                <w:control r:id="rId11" w:name="CheckBox3" w:shapeid="_x0000_i1049"/>
              </w:objec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>
            <w:r>
              <w:rPr>
                <w:sz w:val="16"/>
                <w:szCs w:val="16"/>
              </w:rPr>
              <w:t>Explicar la contribución a política pública transversal</w:t>
            </w:r>
          </w:p>
        </w:tc>
      </w:tr>
      <w:tr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>
            <w:r>
              <w:t>El programa está dirigido a toda la población escolar de los niveles básicos de educación: Preescolar, primaria y secundaria, para el buen desarrollo de niños, niñas y adolescentes que presenten ser un área de oportunidad, los cuales serán trabajados por medio de la pedagogía y psicología.</w:t>
            </w:r>
          </w:p>
        </w:tc>
      </w:tr>
      <w:tr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/>
        </w:tc>
      </w:tr>
      <w:tr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Meta Programada</w:t>
            </w:r>
          </w:p>
        </w:tc>
      </w:tr>
      <w:tr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Alumnos intervenidos</w:t>
            </w:r>
          </w:p>
        </w:tc>
        <w:tc>
          <w:tcPr>
            <w:tcW w:w="309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Número de alumnos</w:t>
            </w:r>
          </w:p>
        </w:tc>
        <w:tc>
          <w:tcPr>
            <w:tcW w:w="2957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Niñas y adolescentes</w:t>
            </w:r>
          </w:p>
        </w:tc>
        <w:tc>
          <w:tcPr>
            <w:tcW w:w="309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Número de niñas y adolescentes respecto al total</w:t>
            </w:r>
          </w:p>
        </w:tc>
        <w:tc>
          <w:tcPr>
            <w:tcW w:w="2957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</w:tbl>
    <w:p/>
    <w:p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>
            <w:pPr>
              <w:tabs>
                <w:tab w:val="left" w:pos="900"/>
              </w:tabs>
              <w:jc w:val="center"/>
            </w:pPr>
          </w:p>
        </w:tc>
      </w:tr>
      <w:tr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Septiembre</w:t>
            </w:r>
          </w:p>
        </w:tc>
      </w:tr>
      <w:tr>
        <w:trPr>
          <w:trHeight w:val="57"/>
        </w:trPr>
        <w:tc>
          <w:tcPr>
            <w:tcW w:w="1527" w:type="pct"/>
          </w:tcPr>
          <w:p>
            <w:pPr>
              <w:tabs>
                <w:tab w:val="left" w:pos="900"/>
              </w:tabs>
            </w:pPr>
            <w:r>
              <w:t>Elaboración de POA</w:t>
            </w:r>
          </w:p>
          <w:p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>
        <w:trPr>
          <w:trHeight w:val="20"/>
        </w:trPr>
        <w:tc>
          <w:tcPr>
            <w:tcW w:w="1527" w:type="pct"/>
          </w:tcPr>
          <w:p>
            <w:pPr>
              <w:tabs>
                <w:tab w:val="left" w:pos="900"/>
              </w:tabs>
            </w:pPr>
          </w:p>
          <w:p>
            <w:pPr>
              <w:tabs>
                <w:tab w:val="left" w:pos="900"/>
              </w:tabs>
            </w:pPr>
            <w:r>
              <w:t>Convocatoria</w:t>
            </w:r>
          </w:p>
        </w:tc>
        <w:tc>
          <w:tcPr>
            <w:tcW w:w="272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>
        <w:trPr>
          <w:trHeight w:val="20"/>
        </w:trPr>
        <w:tc>
          <w:tcPr>
            <w:tcW w:w="1527" w:type="pct"/>
          </w:tcPr>
          <w:p>
            <w:pPr>
              <w:tabs>
                <w:tab w:val="left" w:pos="900"/>
              </w:tabs>
            </w:pPr>
          </w:p>
          <w:p>
            <w:pPr>
              <w:tabs>
                <w:tab w:val="left" w:pos="900"/>
              </w:tabs>
            </w:pPr>
            <w:r>
              <w:t>Inscripciones</w:t>
            </w:r>
          </w:p>
        </w:tc>
        <w:tc>
          <w:tcPr>
            <w:tcW w:w="272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>
        <w:trPr>
          <w:trHeight w:val="20"/>
        </w:trPr>
        <w:tc>
          <w:tcPr>
            <w:tcW w:w="1527" w:type="pct"/>
          </w:tcPr>
          <w:p>
            <w:pPr>
              <w:tabs>
                <w:tab w:val="left" w:pos="900"/>
              </w:tabs>
            </w:pPr>
          </w:p>
          <w:p>
            <w:pPr>
              <w:tabs>
                <w:tab w:val="left" w:pos="900"/>
              </w:tabs>
            </w:pPr>
            <w:r>
              <w:t>Seguimiento</w:t>
            </w:r>
          </w:p>
        </w:tc>
        <w:tc>
          <w:tcPr>
            <w:tcW w:w="272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>
        <w:trPr>
          <w:trHeight w:val="20"/>
        </w:trPr>
        <w:tc>
          <w:tcPr>
            <w:tcW w:w="1527" w:type="pct"/>
          </w:tcPr>
          <w:p>
            <w:pPr>
              <w:tabs>
                <w:tab w:val="left" w:pos="900"/>
              </w:tabs>
            </w:pPr>
          </w:p>
          <w:p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>
        <w:trPr>
          <w:trHeight w:val="20"/>
        </w:trPr>
        <w:tc>
          <w:tcPr>
            <w:tcW w:w="1527" w:type="pct"/>
          </w:tcPr>
          <w:p>
            <w:pPr>
              <w:tabs>
                <w:tab w:val="left" w:pos="900"/>
              </w:tabs>
            </w:pPr>
          </w:p>
          <w:p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>
        <w:trPr>
          <w:trHeight w:val="20"/>
        </w:trPr>
        <w:tc>
          <w:tcPr>
            <w:tcW w:w="1527" w:type="pct"/>
          </w:tcPr>
          <w:p>
            <w:pPr>
              <w:tabs>
                <w:tab w:val="left" w:pos="900"/>
              </w:tabs>
            </w:pPr>
          </w:p>
          <w:p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>
        <w:trPr>
          <w:trHeight w:val="20"/>
        </w:trPr>
        <w:tc>
          <w:tcPr>
            <w:tcW w:w="1527" w:type="pct"/>
          </w:tcPr>
          <w:p>
            <w:pPr>
              <w:tabs>
                <w:tab w:val="left" w:pos="900"/>
              </w:tabs>
            </w:pPr>
          </w:p>
          <w:p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>
        <w:trPr>
          <w:trHeight w:val="20"/>
        </w:trPr>
        <w:tc>
          <w:tcPr>
            <w:tcW w:w="1527" w:type="pct"/>
          </w:tcPr>
          <w:p>
            <w:pPr>
              <w:tabs>
                <w:tab w:val="left" w:pos="900"/>
              </w:tabs>
            </w:pPr>
          </w:p>
          <w:p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/>
    <w:sectPr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Tablaconcuadrcula1">
    <w:name w:val="Tabla con cuadrícula1"/>
    <w:basedOn w:val="Tablanormal"/>
    <w:next w:val="Tablaconcuadrc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>
          <w:pPr>
            <w:pStyle w:val="37F6BD1BDFA44B7FBA218CB4CD08CD58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>
          <w:pPr>
            <w:pStyle w:val="6E9B3B6BD0E648AFAD31B513B3FEDF0C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</TotalTime>
  <Pages>3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Educación y Cultura</cp:lastModifiedBy>
  <cp:revision>2</cp:revision>
  <dcterms:created xsi:type="dcterms:W3CDTF">2021-10-13T19:31:00Z</dcterms:created>
  <dcterms:modified xsi:type="dcterms:W3CDTF">2021-10-13T19:31:00Z</dcterms:modified>
</cp:coreProperties>
</file>