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C8616C">
        <w:trPr>
          <w:trHeight w:val="494"/>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8D59E0" w:rsidP="00BF7E14">
            <w:pPr>
              <w:spacing w:line="360" w:lineRule="auto"/>
              <w:jc w:val="center"/>
              <w:rPr>
                <w:b/>
              </w:rPr>
            </w:pPr>
            <w:r>
              <w:rPr>
                <w:b/>
              </w:rPr>
              <w:t>Sistema DIF Tlaquepaque</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C8616C">
        <w:trPr>
          <w:trHeight w:val="375"/>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FD4305" w:rsidP="00BF7E14">
            <w:pPr>
              <w:spacing w:line="360" w:lineRule="auto"/>
              <w:jc w:val="center"/>
              <w:rPr>
                <w:b/>
              </w:rPr>
            </w:pPr>
            <w:r>
              <w:rPr>
                <w:b/>
              </w:rPr>
              <w:t>Formación recreo-educativa “Escuelita Rodante” (unidad móvil virtual)</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FD4305">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FD4305">
                  <w:rPr>
                    <w:b/>
                  </w:rPr>
                  <w:t>septiembre de 2022</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FD4305"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C8616C">
        <w:trPr>
          <w:trHeight w:val="1687"/>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A35AE4" w:rsidRDefault="00FD4305" w:rsidP="00FD4305">
            <w:pPr>
              <w:jc w:val="both"/>
              <w:rPr>
                <w:b/>
              </w:rPr>
            </w:pPr>
            <w:r>
              <w:rPr>
                <w:b/>
              </w:rPr>
              <w:t>Entre las problemáticas que aquejan a niñas, niños y adolescentes del Municipio de San Pedro Tlaquepaque, se encuentran las adicciones, la situación económica precaria en las familias, así como un mal uso del tiempo libre</w:t>
            </w:r>
            <w:r w:rsidR="008C1DD6">
              <w:rPr>
                <w:b/>
              </w:rPr>
              <w:t>,</w:t>
            </w:r>
            <w:r>
              <w:rPr>
                <w:b/>
              </w:rPr>
              <w:t xml:space="preserve"> </w:t>
            </w:r>
            <w:r w:rsidR="008C1DD6">
              <w:rPr>
                <w:b/>
              </w:rPr>
              <w:t>l</w:t>
            </w:r>
            <w:r>
              <w:rPr>
                <w:b/>
              </w:rPr>
              <w:t>a falta de espacios públicos y actividades a las cuales tengan fácil acceso para poder desarrollar sus capacidades y habilidades, lo que en la mayoría de los cas</w:t>
            </w:r>
            <w:r w:rsidR="008C1DD6">
              <w:rPr>
                <w:b/>
              </w:rPr>
              <w:t>os se traduce</w:t>
            </w:r>
            <w:r>
              <w:rPr>
                <w:b/>
              </w:rPr>
              <w:t xml:space="preserve"> en circunstancias de niñas, niños y adolescentes en la calle y en situación de calle.</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C36BEC" w:rsidP="00A56F46">
                <w:pPr>
                  <w:rPr>
                    <w:b/>
                  </w:rPr>
                </w:pPr>
                <w:r>
                  <w:rPr>
                    <w:b/>
                  </w:rPr>
                  <w:t>1</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C8616C" w:rsidRPr="00A35AE4" w:rsidRDefault="00FD4305" w:rsidP="00C8616C">
            <w:pPr>
              <w:jc w:val="both"/>
              <w:rPr>
                <w:b/>
              </w:rPr>
            </w:pPr>
            <w:r>
              <w:rPr>
                <w:b/>
              </w:rPr>
              <w:t>Restituir a las niñas, niños y adolescentes en riesgo o en situación de calle y sus familias el derecho a la educación dentro de la regularización escolar, capacitación tecnológica y combate al rezago educativo</w:t>
            </w:r>
            <w:r w:rsidR="00C8616C">
              <w:rPr>
                <w:b/>
              </w:rPr>
              <w:t>, promoviendo en los participantes el hábito de la educación formal con la finalidad de obtener su certificación oficial</w:t>
            </w:r>
            <w:r w:rsidR="008C1DD6">
              <w:rPr>
                <w:b/>
              </w:rPr>
              <w:t>,</w:t>
            </w:r>
            <w:r w:rsidR="00C8616C">
              <w:rPr>
                <w:b/>
              </w:rPr>
              <w:t xml:space="preserve"> lo que les permita tener mejores oportunidades laborales y por ende económicas, llevando con ello un mejor estilo de vida.</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C36BEC">
                <w:pPr>
                  <w:rPr>
                    <w:b/>
                  </w:rPr>
                </w:pPr>
                <w:r>
                  <w:rPr>
                    <w:b/>
                  </w:rPr>
                  <w:t>1.4</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414F64" w:rsidRDefault="002569ED" w:rsidP="002569ED">
            <w:pPr>
              <w:jc w:val="both"/>
              <w:rPr>
                <w:b/>
              </w:rPr>
            </w:pPr>
            <w:r>
              <w:rPr>
                <w:b/>
              </w:rPr>
              <w:t>Intervención para disminuir el tiempo que las niñas, niños y adolescentes pasan en calle, alejándolos de los problemas psicosociales que se presentan dentro de la comunidad, buscando incidir en el combate al rezago educativo, dando la importancia de brindar un espacio tranquilo para resolver dudas, investigar y poder realizar sus tareas escolares, ya que las colonias más vulnerables del Municipio no cuentan con los medios de información (internet, enciclopedias etc.) necesarios para llevarlos a cabo.</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C8616C"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0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40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40pt;height:26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40pt;height:42.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40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40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484BFB" w:rsidP="00484BFB">
            <w:pPr>
              <w:jc w:val="both"/>
            </w:pPr>
            <w:r>
              <w:t xml:space="preserve">Aplicación de herramientas a las familias para la prevención de situación de calle y riesgos psicosociales, familiarización y ejecución para el buen uso de medios tecnológicos, certificación en educación básica, como primaria y secundaria a las niñas, niños y adolescentes y sus familiares que tengan rezago educativo. Todo esto para que los lleve a tener una mejor calidad de vida.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484BFB">
            <w:r>
              <w:t xml:space="preserve">Las actividades a realizar se aplicaran en sesiones de 30 minutos de los siguientes talleres: Taller socio-formativo, taller de regularización de INEA, club de tareas, taller de computación y taller de estimulación cognitiva (videojuegos). </w:t>
            </w:r>
            <w:r w:rsidR="00BA1E1F">
              <w:t>Se realiza estudio sociofamiliar a las familias que se integran al programa, apoyo con material bibliográfico para la realización de sus tareas.</w:t>
            </w:r>
          </w:p>
        </w:tc>
      </w:tr>
      <w:tr w:rsidR="000026DB" w:rsidTr="000952D1">
        <w:trPr>
          <w:trHeight w:val="469"/>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0952D1">
        <w:trPr>
          <w:trHeight w:val="747"/>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BA1E1F" w:rsidP="009367AB">
            <w:pPr>
              <w:jc w:val="center"/>
              <w:rPr>
                <w:b/>
              </w:rPr>
            </w:pPr>
            <w:r>
              <w:rPr>
                <w:b/>
              </w:rPr>
              <w:t>Talleres educativos</w:t>
            </w:r>
          </w:p>
        </w:tc>
        <w:tc>
          <w:tcPr>
            <w:tcW w:w="3091" w:type="dxa"/>
          </w:tcPr>
          <w:p w:rsidR="000026DB" w:rsidRPr="009367AB" w:rsidRDefault="00BA1E1F" w:rsidP="009367AB">
            <w:pPr>
              <w:jc w:val="center"/>
              <w:rPr>
                <w:b/>
              </w:rPr>
            </w:pPr>
            <w:r>
              <w:rPr>
                <w:b/>
              </w:rPr>
              <w:t>sesiones</w:t>
            </w:r>
          </w:p>
        </w:tc>
        <w:tc>
          <w:tcPr>
            <w:tcW w:w="2957" w:type="dxa"/>
            <w:gridSpan w:val="2"/>
          </w:tcPr>
          <w:p w:rsidR="000026DB" w:rsidRPr="00BA1E1F" w:rsidRDefault="00BA1E1F" w:rsidP="009367AB">
            <w:pPr>
              <w:jc w:val="center"/>
              <w:rPr>
                <w:b/>
              </w:rPr>
            </w:pPr>
            <w:r>
              <w:rPr>
                <w:b/>
              </w:rPr>
              <w:t>110</w:t>
            </w:r>
          </w:p>
        </w:tc>
      </w:tr>
      <w:tr w:rsidR="000952D1" w:rsidTr="00823C60">
        <w:trPr>
          <w:trHeight w:val="1020"/>
        </w:trPr>
        <w:tc>
          <w:tcPr>
            <w:tcW w:w="3086" w:type="dxa"/>
            <w:shd w:val="clear" w:color="auto" w:fill="F4B083" w:themeFill="accent2" w:themeFillTint="99"/>
          </w:tcPr>
          <w:p w:rsidR="000952D1" w:rsidRDefault="000952D1" w:rsidP="009367AB">
            <w:pPr>
              <w:jc w:val="center"/>
              <w:rPr>
                <w:b/>
              </w:rPr>
            </w:pPr>
            <w:r>
              <w:rPr>
                <w:b/>
              </w:rPr>
              <w:t>Indicador de Política transversal</w:t>
            </w:r>
          </w:p>
        </w:tc>
        <w:tc>
          <w:tcPr>
            <w:tcW w:w="3430" w:type="dxa"/>
          </w:tcPr>
          <w:p w:rsidR="000952D1" w:rsidRDefault="00C7202C" w:rsidP="009367AB">
            <w:pPr>
              <w:jc w:val="center"/>
              <w:rPr>
                <w:b/>
              </w:rPr>
            </w:pPr>
            <w:r>
              <w:rPr>
                <w:b/>
              </w:rPr>
              <w:t xml:space="preserve">Niños, niñas y adolescentes que asisten a </w:t>
            </w:r>
            <w:r w:rsidR="000952D1">
              <w:rPr>
                <w:b/>
              </w:rPr>
              <w:t>Talleres educativos</w:t>
            </w:r>
          </w:p>
        </w:tc>
        <w:tc>
          <w:tcPr>
            <w:tcW w:w="3091" w:type="dxa"/>
          </w:tcPr>
          <w:p w:rsidR="000952D1" w:rsidRDefault="00C7202C" w:rsidP="009367AB">
            <w:pPr>
              <w:jc w:val="center"/>
              <w:rPr>
                <w:b/>
              </w:rPr>
            </w:pPr>
            <w:bookmarkStart w:id="0" w:name="_GoBack"/>
            <w:bookmarkEnd w:id="0"/>
            <w:r>
              <w:rPr>
                <w:b/>
              </w:rPr>
              <w:t xml:space="preserve">Personas </w:t>
            </w:r>
          </w:p>
        </w:tc>
        <w:tc>
          <w:tcPr>
            <w:tcW w:w="2957" w:type="dxa"/>
            <w:gridSpan w:val="2"/>
          </w:tcPr>
          <w:p w:rsidR="000952D1" w:rsidRDefault="000952D1" w:rsidP="009367AB">
            <w:pPr>
              <w:jc w:val="center"/>
              <w:rPr>
                <w:b/>
              </w:rPr>
            </w:pPr>
            <w:r>
              <w:rPr>
                <w:b/>
              </w:rPr>
              <w:t>100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BA1E1F" w:rsidP="009367AB">
            <w:pPr>
              <w:jc w:val="center"/>
              <w:rPr>
                <w:b/>
              </w:rPr>
            </w:pPr>
            <w:r>
              <w:rPr>
                <w:b/>
              </w:rPr>
              <w:t>Platicas preventivas a padres y madres</w:t>
            </w:r>
          </w:p>
        </w:tc>
        <w:tc>
          <w:tcPr>
            <w:tcW w:w="3091" w:type="dxa"/>
          </w:tcPr>
          <w:p w:rsidR="000026DB" w:rsidRPr="009367AB" w:rsidRDefault="00BA1E1F" w:rsidP="009367AB">
            <w:pPr>
              <w:jc w:val="center"/>
              <w:rPr>
                <w:b/>
              </w:rPr>
            </w:pPr>
            <w:r>
              <w:rPr>
                <w:b/>
              </w:rPr>
              <w:t>sesiones</w:t>
            </w:r>
          </w:p>
        </w:tc>
        <w:tc>
          <w:tcPr>
            <w:tcW w:w="2957" w:type="dxa"/>
            <w:gridSpan w:val="2"/>
          </w:tcPr>
          <w:p w:rsidR="000026DB" w:rsidRPr="009367AB" w:rsidRDefault="00BA1E1F" w:rsidP="009367AB">
            <w:pPr>
              <w:jc w:val="center"/>
              <w:rPr>
                <w:b/>
              </w:rPr>
            </w:pPr>
            <w:r>
              <w:rPr>
                <w:b/>
              </w:rPr>
              <w:t>30</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0026DB" w:rsidP="00BA1E1F">
            <w:pPr>
              <w:tabs>
                <w:tab w:val="left" w:pos="900"/>
              </w:tabs>
              <w:jc w:val="both"/>
            </w:pPr>
          </w:p>
          <w:p w:rsidR="000026DB" w:rsidRPr="000026DB" w:rsidRDefault="00BA1E1F" w:rsidP="00BA1E1F">
            <w:pPr>
              <w:tabs>
                <w:tab w:val="left" w:pos="900"/>
              </w:tabs>
              <w:jc w:val="both"/>
            </w:pPr>
            <w:r>
              <w:t>Taller de sesiones socio formativas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BA1E1F">
        <w:trPr>
          <w:trHeight w:val="20"/>
        </w:trPr>
        <w:tc>
          <w:tcPr>
            <w:tcW w:w="1527" w:type="pct"/>
            <w:vAlign w:val="bottom"/>
          </w:tcPr>
          <w:p w:rsidR="000026DB" w:rsidRPr="000026DB" w:rsidRDefault="00BA1E1F" w:rsidP="00BA1E1F">
            <w:pPr>
              <w:tabs>
                <w:tab w:val="left" w:pos="900"/>
              </w:tabs>
            </w:pPr>
            <w:r>
              <w:t>Taller de regularización escolar</w:t>
            </w:r>
          </w:p>
          <w:p w:rsidR="000026DB" w:rsidRPr="000026DB" w:rsidRDefault="000026DB" w:rsidP="00BA1E1F">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BA1E1F" w:rsidP="000026DB">
            <w:pPr>
              <w:tabs>
                <w:tab w:val="left" w:pos="900"/>
              </w:tabs>
            </w:pPr>
            <w:r>
              <w:t>Club de tareas</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BA1E1F" w:rsidP="000026DB">
            <w:pPr>
              <w:tabs>
                <w:tab w:val="left" w:pos="900"/>
              </w:tabs>
            </w:pPr>
            <w:r>
              <w:t>Taller de computación</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BA1E1F" w:rsidP="000026DB">
            <w:pPr>
              <w:tabs>
                <w:tab w:val="left" w:pos="900"/>
              </w:tabs>
            </w:pPr>
            <w:r>
              <w:t>Taller de estimulación cognitiva</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0026DB" w:rsidRPr="000026DB" w:rsidRDefault="00BA1E1F"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84"/>
    <w:rsid w:val="000026DB"/>
    <w:rsid w:val="000952D1"/>
    <w:rsid w:val="000D70A1"/>
    <w:rsid w:val="0016738C"/>
    <w:rsid w:val="00184C78"/>
    <w:rsid w:val="00186B4C"/>
    <w:rsid w:val="002569ED"/>
    <w:rsid w:val="00391484"/>
    <w:rsid w:val="00393383"/>
    <w:rsid w:val="00414F64"/>
    <w:rsid w:val="00484BFB"/>
    <w:rsid w:val="0049161A"/>
    <w:rsid w:val="00585A08"/>
    <w:rsid w:val="00741DE0"/>
    <w:rsid w:val="00823C60"/>
    <w:rsid w:val="00861543"/>
    <w:rsid w:val="008C1DD6"/>
    <w:rsid w:val="008D59E0"/>
    <w:rsid w:val="009367AB"/>
    <w:rsid w:val="00A35AE4"/>
    <w:rsid w:val="00A56F46"/>
    <w:rsid w:val="00BA1E1F"/>
    <w:rsid w:val="00BF7E14"/>
    <w:rsid w:val="00C36BEC"/>
    <w:rsid w:val="00C52AF0"/>
    <w:rsid w:val="00C7202C"/>
    <w:rsid w:val="00C8616C"/>
    <w:rsid w:val="00CF3EEE"/>
    <w:rsid w:val="00D222D9"/>
    <w:rsid w:val="00E20015"/>
    <w:rsid w:val="00E77791"/>
    <w:rsid w:val="00F62DBE"/>
    <w:rsid w:val="00FD4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37D0650"/>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Textodeglobo">
    <w:name w:val="Balloon Text"/>
    <w:basedOn w:val="Normal"/>
    <w:link w:val="TextodegloboCar"/>
    <w:uiPriority w:val="99"/>
    <w:semiHidden/>
    <w:unhideWhenUsed/>
    <w:rsid w:val="002569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2021-22_v03.dotm</Template>
  <TotalTime>0</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Ana Bertha</cp:lastModifiedBy>
  <cp:revision>2</cp:revision>
  <cp:lastPrinted>2021-10-14T16:34:00Z</cp:lastPrinted>
  <dcterms:created xsi:type="dcterms:W3CDTF">2021-10-15T00:07:00Z</dcterms:created>
  <dcterms:modified xsi:type="dcterms:W3CDTF">2021-10-15T00:07:00Z</dcterms:modified>
</cp:coreProperties>
</file>