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 w:rsidP="00EF6EBE">
      <w:pPr>
        <w:tabs>
          <w:tab w:val="left" w:pos="12333"/>
        </w:tabs>
      </w:pPr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D485D" w:rsidRDefault="00AD485D" w:rsidP="00AD48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Sub-Dirección de Profesionalización y Acreditación Policial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AD485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Becas para Aspirantes a Policía Preventivo Municipal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3D7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23D7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8E4F5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E23D7D" w:rsidP="00BF7E14">
            <w:pPr>
              <w:jc w:val="center"/>
              <w:rPr>
                <w:b/>
              </w:rPr>
            </w:pPr>
            <w:r>
              <w:rPr>
                <w:b/>
              </w:rPr>
              <w:t>35 ASPIRANTES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bookmarkStart w:id="0" w:name="_GoBack"/>
            <w:r w:rsidRPr="00A35AE4">
              <w:rPr>
                <w:b/>
              </w:rPr>
              <w:t>$</w:t>
            </w:r>
            <w:r w:rsidR="00E23D7D">
              <w:rPr>
                <w:b/>
              </w:rPr>
              <w:t xml:space="preserve"> </w:t>
            </w:r>
            <w:r w:rsidR="00EF6EBE">
              <w:rPr>
                <w:b/>
              </w:rPr>
              <w:t>945,000.00</w:t>
            </w:r>
            <w:bookmarkEnd w:id="0"/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E23D7D" w:rsidP="00BF7E14">
            <w:pPr>
              <w:rPr>
                <w:b/>
              </w:rPr>
            </w:pPr>
            <w:r w:rsidRPr="00D33E36">
              <w:t>La Comisaría de la Policía Preventiva Municipal de San Pedro Tlaquepaque, cuenta con un déficit de policías en su estado de fuerza, razón por la cual es indispensable reclutar a más ciudadanos para que se integren a l</w:t>
            </w:r>
            <w:r>
              <w:t>as filas de nuestra Corporación y cubrir la necesidad de seguridad que demanda la ciudadanía.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E23D7D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9B31F5" w:rsidRDefault="009B31F5" w:rsidP="009B31F5">
            <w:r w:rsidRPr="00A32B14">
              <w:t>Reclutar, sele</w:t>
            </w:r>
            <w:r>
              <w:t>ccionar, capacitar con beca a 35</w:t>
            </w:r>
            <w:r w:rsidRPr="00A32B14">
              <w:t xml:space="preserve">  hombres y mujeres de entre 18 y 35 años de edad, con bachillerato concluido y que reúnan los requisitos de la convocatoria, y que residan dentro de la Zona Metropolitana de Guadalajara, a fin de que se integren </w:t>
            </w:r>
            <w:r>
              <w:t xml:space="preserve">al grupo de 35 hombres y mujeres que contarán con el apoyo económico en concepto de beca mientras cursan: FORMACIÓN INICIAL PARA POLICIA PREVENTIVO MUNICIPAL, posterior a ello se integran </w:t>
            </w:r>
            <w:r w:rsidRPr="00A32B14">
              <w:t>al estado de fu</w:t>
            </w:r>
            <w:r>
              <w:t>erza de la Comisaría Municipal para</w:t>
            </w:r>
            <w:r w:rsidRPr="00A32B14">
              <w:t xml:space="preserve"> </w:t>
            </w:r>
            <w:r>
              <w:t>fortalecer</w:t>
            </w:r>
            <w:r w:rsidRPr="00A32B14">
              <w:t xml:space="preserve"> las acciones de vigilancia en el municipio.</w:t>
            </w:r>
            <w:r>
              <w:t xml:space="preserve"> </w:t>
            </w:r>
          </w:p>
          <w:p w:rsidR="009B31F5" w:rsidRDefault="009B31F5" w:rsidP="009B31F5"/>
          <w:p w:rsidR="00414F64" w:rsidRPr="00A35AE4" w:rsidRDefault="00414F64" w:rsidP="00E23D7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E23D7D">
                <w:pPr>
                  <w:rPr>
                    <w:b/>
                  </w:rPr>
                </w:pPr>
                <w:r>
                  <w:rPr>
                    <w:b/>
                  </w:rPr>
                  <w:t>5.6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B455AC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455AC" w:rsidRDefault="00B455AC" w:rsidP="00414F64">
            <w:pPr>
              <w:rPr>
                <w:b/>
              </w:rPr>
            </w:pPr>
          </w:p>
        </w:tc>
        <w:tc>
          <w:tcPr>
            <w:tcW w:w="8151" w:type="dxa"/>
            <w:gridSpan w:val="5"/>
          </w:tcPr>
          <w:p w:rsidR="00B455AC" w:rsidRPr="00A32B14" w:rsidRDefault="00B455AC" w:rsidP="009B31F5"/>
        </w:tc>
        <w:tc>
          <w:tcPr>
            <w:tcW w:w="2157" w:type="dxa"/>
            <w:shd w:val="clear" w:color="auto" w:fill="D5DCE4" w:themeFill="text2" w:themeFillTint="33"/>
          </w:tcPr>
          <w:p w:rsidR="00B455AC" w:rsidRPr="00414F64" w:rsidRDefault="00B455AC">
            <w:pPr>
              <w:rPr>
                <w:b/>
              </w:rPr>
            </w:pPr>
          </w:p>
        </w:tc>
      </w:tr>
      <w:tr w:rsidR="00391484" w:rsidRPr="00B455AC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Pr="00B455AC" w:rsidRDefault="00391484" w:rsidP="00B455AC">
            <w:pPr>
              <w:jc w:val="both"/>
            </w:pPr>
            <w:r w:rsidRPr="00B455AC"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B455AC" w:rsidRDefault="00B455AC" w:rsidP="00B455AC">
            <w:pPr>
              <w:jc w:val="both"/>
            </w:pPr>
            <w:r w:rsidRPr="00B455AC">
              <w:t>Apoyar económicamente como un estímulo  a los aspirantes (becarios) que cursen: FORMACION INICIAL PARA POLICIA PREVENTIVO MUNICIPAL durante aproximadamente cinco meses que abarca la capacitación de 972 horas clases teórico-práctico, mismos que  al término de su formación se incorporaran al Estado de Fuerza municipal y por ende se reflejara en un mayor número de policías resguardando la seguridad física y patrimonial de los Tlaquepaquenses, aportando con ello a la construcción de un Tejido social que apuesta a la prevención de la comisión de delitos.</w:t>
            </w:r>
            <w:r>
              <w:t xml:space="preserve"> Cabe señalar que el estímulo de beca favorece para que los ciudadanos se interesen en participar e</w:t>
            </w:r>
            <w:r w:rsidR="00121A7B">
              <w:t>n el proceso de selección, capacitación y posterior contratación, en virtud que en algunos municipios no tienen acceso al recurso económico necesario para su sustento y el de sus familias.</w:t>
            </w:r>
          </w:p>
        </w:tc>
      </w:tr>
      <w:tr w:rsidR="00391484" w:rsidRPr="00B455AC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Pr="00B455AC" w:rsidRDefault="00391484" w:rsidP="00B455AC">
            <w:pPr>
              <w:jc w:val="both"/>
            </w:pPr>
            <w:r w:rsidRPr="00B455AC"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Pr="00B455AC" w:rsidRDefault="00391484" w:rsidP="00B455AC">
            <w:pPr>
              <w:jc w:val="both"/>
            </w:pPr>
            <w:r w:rsidRPr="00B455AC"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Pr="00B455AC" w:rsidRDefault="00391484" w:rsidP="00B455AC">
            <w:pPr>
              <w:jc w:val="both"/>
            </w:pPr>
            <w:r w:rsidRPr="00B455AC"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Pr="00B455AC" w:rsidRDefault="00391484" w:rsidP="00B455AC">
            <w:pPr>
              <w:jc w:val="both"/>
            </w:pPr>
          </w:p>
        </w:tc>
      </w:tr>
      <w:tr w:rsidR="00391484" w:rsidRPr="00B455AC" w:rsidTr="00BE39C0">
        <w:trPr>
          <w:trHeight w:val="510"/>
        </w:trPr>
        <w:tc>
          <w:tcPr>
            <w:tcW w:w="896" w:type="dxa"/>
          </w:tcPr>
          <w:p w:rsidR="00391484" w:rsidRPr="00B455AC" w:rsidRDefault="00E23D7D" w:rsidP="00B455AC">
            <w:pPr>
              <w:jc w:val="both"/>
            </w:pPr>
            <w:r w:rsidRPr="00B455AC">
              <w:t>X</w:t>
            </w:r>
          </w:p>
        </w:tc>
        <w:tc>
          <w:tcPr>
            <w:tcW w:w="896" w:type="dxa"/>
            <w:gridSpan w:val="2"/>
          </w:tcPr>
          <w:p w:rsidR="00391484" w:rsidRPr="00B455AC" w:rsidRDefault="00391484" w:rsidP="00B455AC">
            <w:pPr>
              <w:jc w:val="both"/>
            </w:pPr>
          </w:p>
        </w:tc>
        <w:tc>
          <w:tcPr>
            <w:tcW w:w="1038" w:type="dxa"/>
          </w:tcPr>
          <w:p w:rsidR="00391484" w:rsidRPr="00B455AC" w:rsidRDefault="00391484" w:rsidP="00B455AC">
            <w:pPr>
              <w:jc w:val="both"/>
            </w:pPr>
          </w:p>
        </w:tc>
        <w:tc>
          <w:tcPr>
            <w:tcW w:w="10308" w:type="dxa"/>
            <w:gridSpan w:val="6"/>
            <w:vMerge/>
          </w:tcPr>
          <w:p w:rsidR="00391484" w:rsidRPr="00B455AC" w:rsidRDefault="00391484" w:rsidP="00B455AC">
            <w:pPr>
              <w:jc w:val="both"/>
            </w:pPr>
          </w:p>
        </w:tc>
      </w:tr>
    </w:tbl>
    <w:p w:rsidR="00184C78" w:rsidRPr="00B455AC" w:rsidRDefault="00184C78" w:rsidP="00B455AC">
      <w:pPr>
        <w:jc w:val="both"/>
      </w:pPr>
    </w:p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36" type="#_x0000_t75" style="width:139.2pt;height:18pt" o:ole="">
                  <v:imagedata r:id="rId16" o:title=""/>
                </v:shape>
                <w:control r:id="rId17" w:name="Objeto 15" w:shapeid="_x0000_i1036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470BD" w:rsidP="008A55F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Con este programa de </w:t>
            </w:r>
            <w:r w:rsidR="009B31F5">
              <w:rPr>
                <w:shd w:val="clear" w:color="auto" w:fill="FFFFFF"/>
              </w:rPr>
              <w:t xml:space="preserve">Becas </w:t>
            </w:r>
            <w:r>
              <w:rPr>
                <w:shd w:val="clear" w:color="auto" w:fill="FFFFFF"/>
              </w:rPr>
              <w:t xml:space="preserve"> para aspirantes a </w:t>
            </w:r>
            <w:r w:rsidR="008A55FD">
              <w:rPr>
                <w:shd w:val="clear" w:color="auto" w:fill="FFFFFF"/>
              </w:rPr>
              <w:t>Policía</w:t>
            </w:r>
            <w:r>
              <w:rPr>
                <w:shd w:val="clear" w:color="auto" w:fill="FFFFFF"/>
              </w:rPr>
              <w:t xml:space="preserve"> Preventivo Municipal se aporta a la </w:t>
            </w:r>
            <w:r w:rsidR="008A55FD">
              <w:rPr>
                <w:shd w:val="clear" w:color="auto" w:fill="FFFFFF"/>
              </w:rPr>
              <w:t>Política</w:t>
            </w:r>
            <w:r>
              <w:rPr>
                <w:shd w:val="clear" w:color="auto" w:fill="FFFFFF"/>
              </w:rPr>
              <w:t xml:space="preserve"> transversal de Seguridad Humana, en virtud que el Gobierno</w:t>
            </w:r>
            <w:r w:rsidR="0050068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en </w:t>
            </w:r>
            <w:r w:rsidR="008A55FD">
              <w:rPr>
                <w:shd w:val="clear" w:color="auto" w:fill="FFFFFF"/>
              </w:rPr>
              <w:t xml:space="preserve">este caso el municipal cumple con su </w:t>
            </w:r>
            <w:r>
              <w:rPr>
                <w:shd w:val="clear" w:color="auto" w:fill="FFFFFF"/>
              </w:rPr>
              <w:t xml:space="preserve">responsabilidad </w:t>
            </w:r>
            <w:r w:rsidR="0050068E">
              <w:rPr>
                <w:shd w:val="clear" w:color="auto" w:fill="FFFFFF"/>
              </w:rPr>
              <w:t xml:space="preserve">de proteger la integridad </w:t>
            </w:r>
            <w:r w:rsidR="008A55FD">
              <w:rPr>
                <w:shd w:val="clear" w:color="auto" w:fill="FFFFFF"/>
              </w:rPr>
              <w:t>y la  seguridad  de los habitantes del municipio a través del fortalecimiento en número de policías, esto traducido en incremento de patrullaje en el territorio municipal resguardando, protegiendo y previniendo actos delictivos cometidos en contra de las personas y su patrimonio.</w:t>
            </w:r>
            <w:r w:rsidR="00121A7B">
              <w:rPr>
                <w:shd w:val="clear" w:color="auto" w:fill="FFFFFF"/>
              </w:rPr>
              <w:t xml:space="preserve"> Además dotar de una aportación económica a los becarios y con ello cuentan con el recurso necesario para su sustento y el de sus familias  aportando a la seguridad humana de cada uno de los y las becarias.</w:t>
            </w:r>
          </w:p>
          <w:p w:rsidR="008A55FD" w:rsidRDefault="008A55FD" w:rsidP="008A55FD">
            <w:r>
              <w:rPr>
                <w:shd w:val="clear" w:color="auto" w:fill="FFFFFF"/>
              </w:rPr>
              <w:t xml:space="preserve">También se aporta a Perspectiva de género en virtud de que tanto hombres como mujeres tienen la misma oportunidad de ingreso al Estado de Fuerza Municipal, ya que los requisitos </w:t>
            </w:r>
            <w:r w:rsidR="00FF0FEA">
              <w:rPr>
                <w:shd w:val="clear" w:color="auto" w:fill="FFFFFF"/>
              </w:rPr>
              <w:t xml:space="preserve">son aptos  tanto para hombres como para </w:t>
            </w:r>
            <w:r>
              <w:rPr>
                <w:shd w:val="clear" w:color="auto" w:fill="FFFFFF"/>
              </w:rPr>
              <w:t xml:space="preserve"> mujeres</w:t>
            </w:r>
            <w:r w:rsidR="00FF0FEA">
              <w:rPr>
                <w:shd w:val="clear" w:color="auto" w:fill="FFFFFF"/>
              </w:rPr>
              <w:t>; además de que en ambos casos cuentan con los mismos derechos y obligaciones laborales 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B31F5" w:rsidRDefault="009B31F5" w:rsidP="009B31F5">
            <w:r>
              <w:t>-Realizar las gestiones correspondientes para gozar el beneficio de acceso a recurso económico municipal</w:t>
            </w:r>
            <w:r w:rsidR="001824F6">
              <w:t>, para beneficiar al grupo de personas que se integraran como becarios al curso: FORMACIÓN INICIAL PARA POLICIA PREVENTIVO MUNICIPAL</w:t>
            </w:r>
          </w:p>
          <w:p w:rsidR="00861543" w:rsidRDefault="001824F6" w:rsidP="009B31F5">
            <w:r>
              <w:t>-</w:t>
            </w:r>
            <w:r w:rsidR="009B31F5">
              <w:t>Integrar el grupo de personas que se incorporaran en calidad de Becarios al curso de: FORMACIÓN INICIAL PARA POLICIA PREVENTIVO MUNICIPAL</w:t>
            </w:r>
          </w:p>
          <w:p w:rsidR="00B455AC" w:rsidRDefault="00B455AC" w:rsidP="009B31F5">
            <w:r>
              <w:t>-Cotizar y contratar a la Academia de Seguridad (acreditada y certificada) por el Secretariado Ejecutivo Nacional de Seguridad Publica, que llevará acabo la FORMACION INICIAL PARA POLICIA PREVENTIVO MUNICIPAL.</w:t>
            </w:r>
          </w:p>
          <w:p w:rsidR="001824F6" w:rsidRDefault="001824F6" w:rsidP="009B31F5">
            <w:r>
              <w:t>-Iniciar el curso y por ende el benefic</w:t>
            </w:r>
            <w:r w:rsidR="00126E54">
              <w:t>i</w:t>
            </w:r>
            <w:r>
              <w:t xml:space="preserve">o de beca a los </w:t>
            </w:r>
            <w:r w:rsidR="00121A7B">
              <w:t xml:space="preserve">y las </w:t>
            </w:r>
            <w:r>
              <w:t>aspirantes durante los 5 meses que abarca la capacitación misma que equivale a 976 horas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74ED0" w:rsidP="009367AB">
            <w:pPr>
              <w:jc w:val="center"/>
              <w:rPr>
                <w:b/>
              </w:rPr>
            </w:pPr>
            <w:r>
              <w:rPr>
                <w:b/>
              </w:rPr>
              <w:t>Soporte</w:t>
            </w:r>
          </w:p>
        </w:tc>
        <w:tc>
          <w:tcPr>
            <w:tcW w:w="3091" w:type="dxa"/>
          </w:tcPr>
          <w:p w:rsidR="000026DB" w:rsidRPr="009367AB" w:rsidRDefault="00121A7B" w:rsidP="009367AB">
            <w:pPr>
              <w:jc w:val="center"/>
              <w:rPr>
                <w:b/>
              </w:rPr>
            </w:pPr>
            <w:r>
              <w:rPr>
                <w:b/>
              </w:rPr>
              <w:t>Becarios</w:t>
            </w:r>
          </w:p>
        </w:tc>
        <w:tc>
          <w:tcPr>
            <w:tcW w:w="2957" w:type="dxa"/>
            <w:gridSpan w:val="2"/>
          </w:tcPr>
          <w:p w:rsidR="000026DB" w:rsidRPr="009367AB" w:rsidRDefault="00074ED0" w:rsidP="009367A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74ED0" w:rsidRDefault="00126E54" w:rsidP="00126E54">
            <w:pPr>
              <w:tabs>
                <w:tab w:val="left" w:pos="303"/>
              </w:tabs>
              <w:rPr>
                <w:b/>
              </w:rPr>
            </w:pPr>
            <w:r>
              <w:rPr>
                <w:b/>
              </w:rPr>
              <w:tab/>
              <w:t>-Perspectiva de Género</w:t>
            </w:r>
          </w:p>
          <w:p w:rsidR="00126E54" w:rsidRDefault="00126E54" w:rsidP="00126E54">
            <w:pPr>
              <w:tabs>
                <w:tab w:val="left" w:pos="303"/>
              </w:tabs>
              <w:rPr>
                <w:b/>
              </w:rPr>
            </w:pPr>
            <w:r>
              <w:rPr>
                <w:b/>
              </w:rPr>
              <w:t xml:space="preserve">      -Seguridad Humana</w:t>
            </w:r>
          </w:p>
          <w:p w:rsidR="000026DB" w:rsidRPr="00074ED0" w:rsidRDefault="000026DB" w:rsidP="00074ED0">
            <w:pPr>
              <w:jc w:val="center"/>
            </w:pPr>
          </w:p>
        </w:tc>
        <w:tc>
          <w:tcPr>
            <w:tcW w:w="3091" w:type="dxa"/>
          </w:tcPr>
          <w:p w:rsidR="000026DB" w:rsidRPr="009367AB" w:rsidRDefault="00121A7B" w:rsidP="009367AB">
            <w:pPr>
              <w:jc w:val="center"/>
              <w:rPr>
                <w:b/>
              </w:rPr>
            </w:pPr>
            <w:r>
              <w:rPr>
                <w:b/>
              </w:rPr>
              <w:t>Becarios</w:t>
            </w:r>
          </w:p>
        </w:tc>
        <w:tc>
          <w:tcPr>
            <w:tcW w:w="2957" w:type="dxa"/>
            <w:gridSpan w:val="2"/>
          </w:tcPr>
          <w:p w:rsidR="000026DB" w:rsidRPr="009367AB" w:rsidRDefault="00121A7B" w:rsidP="009367A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126E54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651BF4" w:rsidRPr="000026DB" w:rsidTr="00126E54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126E54">
        <w:trPr>
          <w:trHeight w:val="57"/>
        </w:trPr>
        <w:tc>
          <w:tcPr>
            <w:tcW w:w="1517" w:type="pct"/>
          </w:tcPr>
          <w:p w:rsidR="000026DB" w:rsidRPr="000026DB" w:rsidRDefault="00126E54" w:rsidP="00FF0FEA">
            <w:pPr>
              <w:tabs>
                <w:tab w:val="left" w:pos="900"/>
              </w:tabs>
            </w:pPr>
            <w:r>
              <w:t>Gestión de Recurso económico municipal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6E54">
        <w:trPr>
          <w:trHeight w:val="20"/>
        </w:trPr>
        <w:tc>
          <w:tcPr>
            <w:tcW w:w="1517" w:type="pct"/>
          </w:tcPr>
          <w:p w:rsidR="000026DB" w:rsidRPr="000026DB" w:rsidRDefault="00126E54" w:rsidP="000026DB">
            <w:pPr>
              <w:tabs>
                <w:tab w:val="left" w:pos="900"/>
              </w:tabs>
            </w:pPr>
            <w:r>
              <w:t>Integrar el grupo de aspirantes a Policía Preventivo Municipal que gozaran del beneficio de beca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6E54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126E54" w:rsidP="000026DB">
            <w:pPr>
              <w:tabs>
                <w:tab w:val="left" w:pos="900"/>
              </w:tabs>
            </w:pPr>
            <w:r>
              <w:t>Inicio de Curso: FORMACIÓN INICIAL PARA POLICIA PREVENTIVO MUNICIPAL  y beca económica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126E54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7466C"/>
    <w:rsid w:val="00074ED0"/>
    <w:rsid w:val="000D70A1"/>
    <w:rsid w:val="00121A7B"/>
    <w:rsid w:val="00126E54"/>
    <w:rsid w:val="001824F6"/>
    <w:rsid w:val="00184C78"/>
    <w:rsid w:val="00186B4C"/>
    <w:rsid w:val="001D019D"/>
    <w:rsid w:val="002128BD"/>
    <w:rsid w:val="002F0F3D"/>
    <w:rsid w:val="00391484"/>
    <w:rsid w:val="00393383"/>
    <w:rsid w:val="00414F64"/>
    <w:rsid w:val="0049161A"/>
    <w:rsid w:val="0050068E"/>
    <w:rsid w:val="00651BF4"/>
    <w:rsid w:val="00741DE0"/>
    <w:rsid w:val="00823C60"/>
    <w:rsid w:val="00861543"/>
    <w:rsid w:val="008A55FD"/>
    <w:rsid w:val="008B3DD6"/>
    <w:rsid w:val="008E4F50"/>
    <w:rsid w:val="009367AB"/>
    <w:rsid w:val="009B31F5"/>
    <w:rsid w:val="00A35AE4"/>
    <w:rsid w:val="00A56F46"/>
    <w:rsid w:val="00AA4B70"/>
    <w:rsid w:val="00AD485D"/>
    <w:rsid w:val="00B455AC"/>
    <w:rsid w:val="00B470BD"/>
    <w:rsid w:val="00B92AED"/>
    <w:rsid w:val="00BF7E14"/>
    <w:rsid w:val="00C52AF0"/>
    <w:rsid w:val="00E20015"/>
    <w:rsid w:val="00E23D7D"/>
    <w:rsid w:val="00E77791"/>
    <w:rsid w:val="00ED6E52"/>
    <w:rsid w:val="00EF6EBE"/>
    <w:rsid w:val="00F62DBE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E800E0"/>
  <w15:docId w15:val="{95DDDE69-DFE4-43E4-9442-3EB1EAA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D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B3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20</TotalTime>
  <Pages>4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4</cp:revision>
  <dcterms:created xsi:type="dcterms:W3CDTF">2021-10-08T17:09:00Z</dcterms:created>
  <dcterms:modified xsi:type="dcterms:W3CDTF">2021-11-09T23:40:00Z</dcterms:modified>
</cp:coreProperties>
</file>