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  <w:smallCaps/>
          <w:sz w:val="32"/>
          <w:szCs w:val="32"/>
        </w:rPr>
      </w:pPr>
      <w:bookmarkStart w:id="0" w:name="_GoBack"/>
      <w:bookmarkEnd w:id="0"/>
      <w:r>
        <w:rPr>
          <w:b/>
          <w:smallCaps/>
          <w:sz w:val="32"/>
          <w:szCs w:val="32"/>
        </w:rPr>
        <w:t xml:space="preserve">Actividades </w:t>
      </w:r>
    </w:p>
    <w:p>
      <w:pPr>
        <w:jc w:val="center"/>
      </w:pPr>
      <w:r>
        <w:rPr>
          <w:b/>
          <w:smallCaps/>
          <w:sz w:val="32"/>
          <w:szCs w:val="32"/>
        </w:rPr>
        <w:t>Dirección de Planeación y Programación de Políticas Públicas</w:t>
      </w:r>
    </w:p>
    <w:p>
      <w:pPr>
        <w:jc w:val="center"/>
        <w:rPr>
          <w:rFonts w:ascii="Agency FB" w:hAnsi="Agency FB"/>
          <w:b/>
          <w:smallCaps/>
          <w:sz w:val="32"/>
          <w:szCs w:val="32"/>
        </w:rPr>
      </w:pPr>
      <w:r>
        <w:rPr>
          <w:rFonts w:ascii="Agency FB" w:hAnsi="Agency FB"/>
          <w:b/>
          <w:smallCaps/>
          <w:sz w:val="32"/>
          <w:szCs w:val="32"/>
        </w:rPr>
        <w:t>Febrero 2022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98"/>
        <w:gridCol w:w="3885"/>
        <w:gridCol w:w="3118"/>
        <w:gridCol w:w="3793"/>
      </w:tblGrid>
      <w:tr>
        <w:tc>
          <w:tcPr>
            <w:tcW w:w="3198" w:type="dxa"/>
            <w:shd w:val="clear" w:color="auto" w:fill="CCFFFF"/>
          </w:tcPr>
          <w:p>
            <w:pPr>
              <w:jc w:val="center"/>
              <w:rPr>
                <w:rFonts w:ascii="Agency FB" w:hAnsi="Agency FB"/>
                <w:b/>
                <w:smallCaps/>
                <w:sz w:val="24"/>
                <w:szCs w:val="24"/>
              </w:rPr>
            </w:pPr>
            <w:r>
              <w:rPr>
                <w:rFonts w:ascii="Agency FB" w:hAnsi="Agency FB"/>
                <w:b/>
                <w:smallCaps/>
                <w:sz w:val="24"/>
                <w:szCs w:val="24"/>
              </w:rPr>
              <w:t>Dependencias y sus áreas visitadas, para ajuste de la Planeación Operativa 2022</w:t>
            </w:r>
          </w:p>
        </w:tc>
        <w:tc>
          <w:tcPr>
            <w:tcW w:w="3885" w:type="dxa"/>
            <w:shd w:val="clear" w:color="auto" w:fill="FF99FF"/>
          </w:tcPr>
          <w:p>
            <w:pPr>
              <w:jc w:val="center"/>
              <w:rPr>
                <w:rFonts w:ascii="Agency FB" w:hAnsi="Agency FB"/>
                <w:b/>
                <w:smallCaps/>
                <w:sz w:val="24"/>
                <w:szCs w:val="24"/>
              </w:rPr>
            </w:pPr>
            <w:r>
              <w:rPr>
                <w:rFonts w:ascii="Agency FB" w:hAnsi="Agency FB"/>
                <w:b/>
                <w:smallCaps/>
                <w:sz w:val="24"/>
                <w:szCs w:val="24"/>
              </w:rPr>
              <w:t>Seguimiento en el acompañamiento presencial y vía telefónica , con las áreas para el ajuste de la Planeación Operativa 2022</w:t>
            </w:r>
          </w:p>
        </w:tc>
        <w:tc>
          <w:tcPr>
            <w:tcW w:w="3118" w:type="dxa"/>
            <w:shd w:val="clear" w:color="auto" w:fill="FFD757"/>
          </w:tcPr>
          <w:p>
            <w:pPr>
              <w:jc w:val="center"/>
              <w:rPr>
                <w:rFonts w:ascii="Agency FB" w:hAnsi="Agency FB"/>
                <w:b/>
                <w:smallCaps/>
                <w:sz w:val="24"/>
                <w:szCs w:val="24"/>
              </w:rPr>
            </w:pPr>
            <w:r>
              <w:rPr>
                <w:rFonts w:ascii="Agency FB" w:hAnsi="Agency FB"/>
                <w:b/>
                <w:smallCaps/>
                <w:sz w:val="24"/>
                <w:szCs w:val="24"/>
              </w:rPr>
              <w:t>Ajuste en la planeación Operativa de las áreas</w:t>
            </w:r>
          </w:p>
        </w:tc>
        <w:tc>
          <w:tcPr>
            <w:tcW w:w="3793" w:type="dxa"/>
            <w:shd w:val="clear" w:color="auto" w:fill="D0CECE" w:themeFill="background2" w:themeFillShade="E6"/>
          </w:tcPr>
          <w:p>
            <w:pPr>
              <w:jc w:val="center"/>
              <w:rPr>
                <w:rFonts w:ascii="Agency FB" w:hAnsi="Agency FB"/>
                <w:b/>
                <w:smallCaps/>
                <w:sz w:val="24"/>
                <w:szCs w:val="24"/>
              </w:rPr>
            </w:pPr>
            <w:r>
              <w:rPr>
                <w:rFonts w:ascii="Agency FB" w:hAnsi="Agency FB"/>
                <w:b/>
                <w:smallCaps/>
                <w:sz w:val="24"/>
                <w:szCs w:val="24"/>
              </w:rPr>
              <w:t xml:space="preserve">Ajuste de los Indicadores de Gestión y Matriz de Indicadores para Resultados (MIR), de  la Auditoria Superior del Estado </w:t>
            </w:r>
          </w:p>
        </w:tc>
      </w:tr>
      <w:tr>
        <w:trPr>
          <w:trHeight w:val="357"/>
        </w:trPr>
        <w:tc>
          <w:tcPr>
            <w:tcW w:w="3198" w:type="dxa"/>
          </w:tcPr>
          <w:p>
            <w:pPr>
              <w:jc w:val="center"/>
              <w:rPr>
                <w:rFonts w:ascii="Agency FB" w:hAnsi="Agency FB"/>
                <w:b/>
                <w:smallCaps/>
                <w:sz w:val="24"/>
                <w:szCs w:val="24"/>
              </w:rPr>
            </w:pPr>
            <w:r>
              <w:rPr>
                <w:rFonts w:ascii="Agency FB" w:hAnsi="Agency FB"/>
                <w:b/>
                <w:smallCaps/>
                <w:sz w:val="24"/>
                <w:szCs w:val="24"/>
              </w:rPr>
              <w:t>32</w:t>
            </w:r>
          </w:p>
        </w:tc>
        <w:tc>
          <w:tcPr>
            <w:tcW w:w="3885" w:type="dxa"/>
          </w:tcPr>
          <w:p>
            <w:pPr>
              <w:jc w:val="center"/>
              <w:rPr>
                <w:rFonts w:ascii="Agency FB" w:hAnsi="Agency FB"/>
                <w:b/>
                <w:smallCaps/>
                <w:sz w:val="24"/>
                <w:szCs w:val="24"/>
              </w:rPr>
            </w:pPr>
            <w:r>
              <w:rPr>
                <w:rFonts w:ascii="Agency FB" w:hAnsi="Agency FB"/>
                <w:b/>
                <w:smallCaps/>
                <w:sz w:val="24"/>
                <w:szCs w:val="24"/>
              </w:rPr>
              <w:t>30</w:t>
            </w:r>
          </w:p>
        </w:tc>
        <w:tc>
          <w:tcPr>
            <w:tcW w:w="3118" w:type="dxa"/>
          </w:tcPr>
          <w:p>
            <w:pPr>
              <w:jc w:val="center"/>
              <w:rPr>
                <w:rFonts w:ascii="Agency FB" w:hAnsi="Agency FB"/>
                <w:b/>
                <w:smallCaps/>
                <w:sz w:val="24"/>
                <w:szCs w:val="24"/>
              </w:rPr>
            </w:pPr>
            <w:r>
              <w:rPr>
                <w:rFonts w:ascii="Agency FB" w:hAnsi="Agency FB"/>
                <w:b/>
                <w:smallCaps/>
                <w:sz w:val="24"/>
                <w:szCs w:val="24"/>
              </w:rPr>
              <w:t>17</w:t>
            </w:r>
          </w:p>
        </w:tc>
        <w:tc>
          <w:tcPr>
            <w:tcW w:w="3793" w:type="dxa"/>
          </w:tcPr>
          <w:p>
            <w:pPr>
              <w:jc w:val="center"/>
              <w:rPr>
                <w:rFonts w:ascii="Agency FB" w:hAnsi="Agency FB"/>
                <w:b/>
                <w:smallCaps/>
                <w:sz w:val="24"/>
                <w:szCs w:val="24"/>
              </w:rPr>
            </w:pPr>
            <w:r>
              <w:rPr>
                <w:rFonts w:ascii="Agency FB" w:hAnsi="Agency FB"/>
                <w:b/>
                <w:smallCaps/>
                <w:sz w:val="24"/>
                <w:szCs w:val="24"/>
              </w:rPr>
              <w:t>2</w:t>
            </w:r>
          </w:p>
        </w:tc>
      </w:tr>
    </w:tbl>
    <w:p>
      <w:pPr>
        <w:jc w:val="center"/>
        <w:rPr>
          <w:color w:val="FFFFFF" w:themeColor="background1"/>
          <w14:textFill>
            <w14:noFill/>
          </w14:textFill>
        </w:rPr>
      </w:pPr>
      <w:r>
        <w:rPr>
          <w:noProof/>
          <w:lang w:val="es-MX" w:eastAsia="es-MX"/>
        </w:rPr>
        <w:drawing>
          <wp:inline distT="0" distB="0" distL="0" distR="0">
            <wp:extent cx="5798820" cy="2346960"/>
            <wp:effectExtent l="133350" t="133350" r="144780" b="148590"/>
            <wp:docPr id="7" name="Grá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sectPr>
      <w:headerReference w:type="default" r:id="rId8"/>
      <w:footerReference w:type="default" r:id="rId9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5028565</wp:posOffset>
          </wp:positionH>
          <wp:positionV relativeFrom="paragraph">
            <wp:posOffset>-958215</wp:posOffset>
          </wp:positionV>
          <wp:extent cx="4648373" cy="1441728"/>
          <wp:effectExtent l="0" t="0" r="0" b="635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5297" cy="144697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-297815</wp:posOffset>
          </wp:positionH>
          <wp:positionV relativeFrom="paragraph">
            <wp:posOffset>-259080</wp:posOffset>
          </wp:positionV>
          <wp:extent cx="3755390" cy="1091565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55390" cy="1091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BADBAED1-0257-49D1-B290-CD82AB978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table" w:styleId="Tablaconcuadrcula">
    <w:name w:val="Table Grid"/>
    <w:basedOn w:val="Tabla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0" normalizeH="0" baseline="0">
                <a:ln>
                  <a:noFill/>
                </a:ln>
                <a:solidFill>
                  <a:schemeClr val="accent1">
                    <a:lumMod val="75000"/>
                  </a:schemeClr>
                </a:solidFill>
                <a:latin typeface="+mj-lt"/>
                <a:ea typeface="+mj-ea"/>
                <a:cs typeface="+mj-cs"/>
              </a:defRPr>
            </a:pPr>
            <a:r>
              <a:rPr lang="es-ES">
                <a:solidFill>
                  <a:schemeClr val="accent1">
                    <a:lumMod val="75000"/>
                  </a:schemeClr>
                </a:solidFill>
              </a:rPr>
              <a:t>Actividades de la Dirección de Planeación y Programación 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0" normalizeH="0" baseline="0">
              <a:ln>
                <a:noFill/>
              </a:ln>
              <a:solidFill>
                <a:schemeClr val="accent1">
                  <a:lumMod val="75000"/>
                </a:schemeClr>
              </a:solidFill>
              <a:latin typeface="+mj-lt"/>
              <a:ea typeface="+mj-ea"/>
              <a:cs typeface="+mj-cs"/>
            </a:defRPr>
          </a:pPr>
          <a:endParaRPr lang="es-MX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gradFill>
              <a:gsLst>
                <a:gs pos="100000">
                  <a:schemeClr val="accent2">
                    <a:lumMod val="60000"/>
                    <a:lumOff val="40000"/>
                  </a:schemeClr>
                </a:gs>
                <a:gs pos="0">
                  <a:schemeClr val="accent2"/>
                </a:gs>
              </a:gsLst>
              <a:lin ang="5400000" scaled="0"/>
            </a:gradFill>
            <a:ln w="19050">
              <a:solidFill>
                <a:schemeClr val="lt1"/>
              </a:solidFill>
            </a:ln>
            <a:effectLst/>
          </c:spPr>
          <c:invertIfNegative val="0"/>
          <c:dPt>
            <c:idx val="0"/>
            <c:invertIfNegative val="0"/>
            <c:bubble3D val="0"/>
            <c:spPr>
              <a:pattFill prst="ltUpDiag">
                <a:fgClr>
                  <a:srgbClr val="44E8EC"/>
                </a:fgClr>
                <a:bgClr>
                  <a:schemeClr val="bg1"/>
                </a:bgClr>
              </a:patt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9CB5-4AB0-A18F-41E36E763D7C}"/>
              </c:ext>
            </c:extLst>
          </c:dPt>
          <c:dPt>
            <c:idx val="1"/>
            <c:invertIfNegative val="0"/>
            <c:bubble3D val="0"/>
            <c:spPr>
              <a:pattFill prst="dkUpDiag">
                <a:fgClr>
                  <a:srgbClr val="EA46DE"/>
                </a:fgClr>
                <a:bgClr>
                  <a:schemeClr val="bg1"/>
                </a:bgClr>
              </a:patt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9CB5-4AB0-A18F-41E36E763D7C}"/>
              </c:ext>
            </c:extLst>
          </c:dPt>
          <c:dPt>
            <c:idx val="2"/>
            <c:invertIfNegative val="0"/>
            <c:bubble3D val="0"/>
            <c:spPr>
              <a:pattFill prst="trellis">
                <a:fgClr>
                  <a:srgbClr val="FFC000"/>
                </a:fgClr>
                <a:bgClr>
                  <a:schemeClr val="bg1"/>
                </a:bgClr>
              </a:patt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9CB5-4AB0-A18F-41E36E763D7C}"/>
              </c:ext>
            </c:extLst>
          </c:dPt>
          <c:dPt>
            <c:idx val="3"/>
            <c:invertIfNegative val="0"/>
            <c:bubble3D val="0"/>
            <c:spPr>
              <a:solidFill>
                <a:schemeClr val="tx1">
                  <a:lumMod val="50000"/>
                  <a:lumOff val="5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6-9CB5-4AB0-A18F-41E36E763D7C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ln>
                      <a:noFill/>
                    </a:ln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Hoja1!$B$2:$E$2</c:f>
              <c:strCache>
                <c:ptCount val="4"/>
                <c:pt idx="0">
                  <c:v>Dependencias y sus áreas, visitadas</c:v>
                </c:pt>
                <c:pt idx="1">
                  <c:v>Seguimiento en el acompañamiento presencial y vía telefónica , con las Áreas para los ajustes de su Planeación Operativa</c:v>
                </c:pt>
                <c:pt idx="2">
                  <c:v>Ajustes y modificaciones de la Planeación Operativa de las Áreas</c:v>
                </c:pt>
                <c:pt idx="3">
                  <c:v>Ajustes de los Indicadores de Gestión y Matriz de Indicadores para Resultados (MIR), para la Auditoria Superior del Estado </c:v>
                </c:pt>
              </c:strCache>
            </c:strRef>
          </c:cat>
          <c:val>
            <c:numRef>
              <c:f>Hoja1!$B$3:$E$3</c:f>
              <c:numCache>
                <c:formatCode>General</c:formatCode>
                <c:ptCount val="4"/>
                <c:pt idx="0">
                  <c:v>32</c:v>
                </c:pt>
                <c:pt idx="1">
                  <c:v>30</c:v>
                </c:pt>
                <c:pt idx="2">
                  <c:v>17</c:v>
                </c:pt>
                <c:pt idx="3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9CB5-4AB0-A18F-41E36E763D7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2880448"/>
        <c:axId val="112881232"/>
      </c:barChart>
      <c:catAx>
        <c:axId val="1128804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0" normalizeH="0" baseline="0">
                <a:ln>
                  <a:noFill/>
                </a:ln>
                <a:solidFill>
                  <a:schemeClr val="accen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12881232"/>
        <c:crosses val="autoZero"/>
        <c:auto val="1"/>
        <c:lblAlgn val="ctr"/>
        <c:lblOffset val="100"/>
        <c:noMultiLvlLbl val="0"/>
      </c:catAx>
      <c:valAx>
        <c:axId val="112881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ln>
                  <a:noFill/>
                </a:ln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128804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solidFill>
        <a:schemeClr val="dk1">
          <a:lumMod val="15000"/>
          <a:lumOff val="85000"/>
        </a:schemeClr>
      </a:solidFill>
      <a:round/>
    </a:ln>
    <a:effectLst>
      <a:glow rad="127000">
        <a:schemeClr val="bg1"/>
      </a:glow>
    </a:effectLst>
  </c:spPr>
  <c:txPr>
    <a:bodyPr/>
    <a:lstStyle/>
    <a:p>
      <a:pPr>
        <a:defRPr>
          <a:ln>
            <a:noFill/>
          </a:ln>
        </a:defRPr>
      </a:pPr>
      <a:endParaRPr lang="es-MX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style1.xml><?xml version="1.0" encoding="utf-8"?>
<cs:chartStyle xmlns:cs="http://schemas.microsoft.com/office/drawing/2012/chartStyle" xmlns:a="http://schemas.openxmlformats.org/drawingml/2006/main" id="256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 cap="none" spc="0" normalizeH="0" baseline="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/>
        </a:fgClr>
        <a:bgClr>
          <a:schemeClr val="dk1">
            <a:lumMod val="10000"/>
            <a:lumOff val="90000"/>
          </a:schemeClr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gradFill>
        <a:gsLst>
          <a:gs pos="100000">
            <a:schemeClr val="phClr">
              <a:lumMod val="60000"/>
              <a:lumOff val="40000"/>
            </a:schemeClr>
          </a:gs>
          <a:gs pos="0">
            <a:schemeClr val="phClr"/>
          </a:gs>
        </a:gsLst>
        <a:lin ang="5400000" scaled="0"/>
      </a:gradFill>
      <a:ln w="19050">
        <a:solidFill>
          <a:schemeClr val="lt1"/>
        </a:solidFill>
      </a:ln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gradFill>
        <a:gsLst>
          <a:gs pos="100000">
            <a:schemeClr val="phClr">
              <a:lumMod val="60000"/>
              <a:lumOff val="40000"/>
            </a:schemeClr>
          </a:gs>
          <a:gs pos="0">
            <a:schemeClr val="phClr"/>
          </a:gs>
        </a:gsLst>
        <a:lin ang="5400000" scaled="0"/>
      </a:gradFill>
      <a:ln w="508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lt1"/>
      </a:solidFill>
      <a:ln w="1587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8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50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dk1">
        <a:lumMod val="50000"/>
        <a:lumOff val="50000"/>
      </a:schemeClr>
    </cs:fontRef>
    <cs:defRPr sz="1600" b="1" kern="1200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5149A2-6B06-4A33-9445-68A4C06DF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Inocencia Sanchez</dc:creator>
  <cp:keywords/>
  <dc:description/>
  <cp:lastModifiedBy>Cesar Ignacio Bocanegra Alvarado</cp:lastModifiedBy>
  <cp:revision>2</cp:revision>
  <cp:lastPrinted>2022-03-18T18:45:00Z</cp:lastPrinted>
  <dcterms:created xsi:type="dcterms:W3CDTF">2022-03-18T20:38:00Z</dcterms:created>
  <dcterms:modified xsi:type="dcterms:W3CDTF">2022-03-18T20:38:00Z</dcterms:modified>
</cp:coreProperties>
</file>