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center"/>
        <w:rPr>
          <w:b/>
          <w:smallCaps/>
          <w:sz w:val="32"/>
          <w:szCs w:val="32"/>
        </w:rPr>
      </w:pPr>
      <w:r>
        <w:rPr>
          <w:b/>
          <w:smallCaps/>
          <w:sz w:val="32"/>
          <w:szCs w:val="32"/>
        </w:rPr>
        <w:t xml:space="preserve">Actividades </w:t>
      </w:r>
    </w:p>
    <w:p>
      <w:pPr>
        <w:jc w:val="center"/>
      </w:pPr>
      <w:bookmarkStart w:id="0" w:name="_GoBack"/>
      <w:r>
        <w:rPr>
          <w:b/>
          <w:smallCaps/>
          <w:sz w:val="32"/>
          <w:szCs w:val="32"/>
        </w:rPr>
        <w:t>Dirección de Planeación y Programación de Políticas Públicas</w:t>
      </w:r>
    </w:p>
    <w:bookmarkEnd w:id="0"/>
    <w:p>
      <w:pPr>
        <w:jc w:val="center"/>
        <w:rPr>
          <w:rFonts w:ascii="Agency FB" w:hAnsi="Agency FB"/>
          <w:b/>
          <w:smallCaps/>
          <w:sz w:val="32"/>
          <w:szCs w:val="32"/>
        </w:rPr>
      </w:pPr>
      <w:r>
        <w:rPr>
          <w:rFonts w:ascii="Agency FB" w:hAnsi="Agency FB"/>
          <w:b/>
          <w:smallCaps/>
          <w:sz w:val="32"/>
          <w:szCs w:val="32"/>
        </w:rPr>
        <w:t>Enero 2022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446"/>
        <w:gridCol w:w="4186"/>
        <w:gridCol w:w="3360"/>
      </w:tblGrid>
      <w:tr>
        <w:trPr>
          <w:trHeight w:val="1124"/>
          <w:jc w:val="center"/>
        </w:trPr>
        <w:tc>
          <w:tcPr>
            <w:tcW w:w="3446" w:type="dxa"/>
            <w:shd w:val="clear" w:color="auto" w:fill="CCFFFF"/>
          </w:tcPr>
          <w:p>
            <w:pPr>
              <w:jc w:val="center"/>
              <w:rPr>
                <w:rFonts w:ascii="Agency FB" w:hAnsi="Agency FB"/>
                <w:b/>
                <w:smallCaps/>
                <w:sz w:val="24"/>
                <w:szCs w:val="24"/>
              </w:rPr>
            </w:pPr>
            <w:r>
              <w:rPr>
                <w:rFonts w:ascii="Agency FB" w:hAnsi="Agency FB"/>
                <w:b/>
                <w:smallCaps/>
                <w:sz w:val="24"/>
                <w:szCs w:val="24"/>
              </w:rPr>
              <w:t xml:space="preserve">Envío de oficios para visitar las Dependencias y sus Áreas </w:t>
            </w:r>
          </w:p>
        </w:tc>
        <w:tc>
          <w:tcPr>
            <w:tcW w:w="4186" w:type="dxa"/>
            <w:shd w:val="clear" w:color="auto" w:fill="FF99FF"/>
          </w:tcPr>
          <w:p>
            <w:pPr>
              <w:jc w:val="center"/>
              <w:rPr>
                <w:rFonts w:ascii="Agency FB" w:hAnsi="Agency FB"/>
                <w:b/>
                <w:smallCaps/>
                <w:sz w:val="24"/>
                <w:szCs w:val="24"/>
              </w:rPr>
            </w:pPr>
            <w:r>
              <w:rPr>
                <w:rFonts w:ascii="Agency FB" w:hAnsi="Agency FB"/>
                <w:b/>
                <w:smallCaps/>
                <w:sz w:val="24"/>
                <w:szCs w:val="24"/>
              </w:rPr>
              <w:t>Dependencias y sus áreas, visitadas</w:t>
            </w:r>
          </w:p>
        </w:tc>
        <w:tc>
          <w:tcPr>
            <w:tcW w:w="3360" w:type="dxa"/>
            <w:shd w:val="clear" w:color="auto" w:fill="FFD757"/>
          </w:tcPr>
          <w:p>
            <w:pPr>
              <w:jc w:val="center"/>
              <w:rPr>
                <w:rFonts w:ascii="Agency FB" w:hAnsi="Agency FB"/>
                <w:b/>
                <w:smallCaps/>
                <w:sz w:val="24"/>
                <w:szCs w:val="24"/>
              </w:rPr>
            </w:pPr>
            <w:r>
              <w:rPr>
                <w:rFonts w:ascii="Agency FB" w:hAnsi="Agency FB"/>
                <w:b/>
                <w:smallCaps/>
                <w:sz w:val="24"/>
                <w:szCs w:val="24"/>
              </w:rPr>
              <w:t>Visitas a las colonias Residencial la Soledad y FOVISSSTE Miravalle dentro del marco del Diagnóstico Participativo 2022</w:t>
            </w:r>
          </w:p>
        </w:tc>
      </w:tr>
      <w:tr>
        <w:trPr>
          <w:trHeight w:val="348"/>
          <w:jc w:val="center"/>
        </w:trPr>
        <w:tc>
          <w:tcPr>
            <w:tcW w:w="3446" w:type="dxa"/>
          </w:tcPr>
          <w:p>
            <w:pPr>
              <w:jc w:val="center"/>
              <w:rPr>
                <w:rFonts w:ascii="Agency FB" w:hAnsi="Agency FB"/>
                <w:b/>
                <w:smallCaps/>
                <w:sz w:val="24"/>
                <w:szCs w:val="24"/>
              </w:rPr>
            </w:pPr>
            <w:r>
              <w:rPr>
                <w:rFonts w:ascii="Agency FB" w:hAnsi="Agency FB"/>
                <w:b/>
                <w:smallCaps/>
                <w:sz w:val="24"/>
                <w:szCs w:val="24"/>
              </w:rPr>
              <w:t>15</w:t>
            </w:r>
          </w:p>
        </w:tc>
        <w:tc>
          <w:tcPr>
            <w:tcW w:w="4186" w:type="dxa"/>
          </w:tcPr>
          <w:p>
            <w:pPr>
              <w:jc w:val="center"/>
              <w:rPr>
                <w:rFonts w:ascii="Agency FB" w:hAnsi="Agency FB"/>
                <w:b/>
                <w:smallCaps/>
                <w:sz w:val="24"/>
                <w:szCs w:val="24"/>
              </w:rPr>
            </w:pPr>
            <w:r>
              <w:rPr>
                <w:rFonts w:ascii="Agency FB" w:hAnsi="Agency FB"/>
                <w:b/>
                <w:smallCaps/>
                <w:sz w:val="24"/>
                <w:szCs w:val="24"/>
              </w:rPr>
              <w:t>74</w:t>
            </w:r>
          </w:p>
        </w:tc>
        <w:tc>
          <w:tcPr>
            <w:tcW w:w="3360" w:type="dxa"/>
          </w:tcPr>
          <w:p>
            <w:pPr>
              <w:jc w:val="center"/>
              <w:rPr>
                <w:rFonts w:ascii="Agency FB" w:hAnsi="Agency FB"/>
                <w:b/>
                <w:smallCaps/>
                <w:sz w:val="24"/>
                <w:szCs w:val="24"/>
              </w:rPr>
            </w:pPr>
            <w:r>
              <w:rPr>
                <w:rFonts w:ascii="Agency FB" w:hAnsi="Agency FB"/>
                <w:b/>
                <w:smallCaps/>
                <w:sz w:val="24"/>
                <w:szCs w:val="24"/>
              </w:rPr>
              <w:t>2</w:t>
            </w:r>
          </w:p>
        </w:tc>
      </w:tr>
    </w:tbl>
    <w:p>
      <w:pPr>
        <w:tabs>
          <w:tab w:val="center" w:pos="1623"/>
        </w:tabs>
        <w:jc w:val="center"/>
        <w:rPr>
          <w:color w:val="FFFFFF" w:themeColor="background1"/>
          <w14:textFill>
            <w14:noFill/>
          </w14:textFill>
        </w:rPr>
      </w:pPr>
      <w:r>
        <w:rPr>
          <w:noProof/>
          <w:lang w:val="es-MX" w:eastAsia="es-MX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1677035</wp:posOffset>
            </wp:positionH>
            <wp:positionV relativeFrom="paragraph">
              <wp:posOffset>117475</wp:posOffset>
            </wp:positionV>
            <wp:extent cx="5478780" cy="2727960"/>
            <wp:effectExtent l="0" t="0" r="7620" b="15240"/>
            <wp:wrapSquare wrapText="bothSides"/>
            <wp:docPr id="4" name="Gráfico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anchor>
        </w:drawing>
      </w:r>
    </w:p>
    <w:p>
      <w:pPr>
        <w:tabs>
          <w:tab w:val="center" w:pos="1623"/>
        </w:tabs>
        <w:rPr>
          <w:color w:val="FFFFFF" w:themeColor="background1"/>
          <w14:textFill>
            <w14:noFill/>
          </w14:textFill>
        </w:rPr>
      </w:pPr>
    </w:p>
    <w:p/>
    <w:p/>
    <w:p/>
    <w:p/>
    <w:p/>
    <w:p/>
    <w:p>
      <w:pPr>
        <w:tabs>
          <w:tab w:val="center" w:pos="1623"/>
        </w:tabs>
        <w:rPr>
          <w:color w:val="FFFFFF" w:themeColor="background1"/>
          <w14:textFill>
            <w14:noFill/>
          </w14:textFill>
        </w:rPr>
      </w:pPr>
    </w:p>
    <w:p>
      <w:pPr>
        <w:tabs>
          <w:tab w:val="center" w:pos="1623"/>
        </w:tabs>
        <w:rPr>
          <w:color w:val="FFFFFF" w:themeColor="background1"/>
          <w14:textFill>
            <w14:noFill/>
          </w14:textFill>
        </w:rPr>
      </w:pPr>
      <w:r>
        <w:rPr>
          <w:color w:val="FFFFFF" w:themeColor="background1"/>
          <w14:textFill>
            <w14:noFill/>
          </w14:textFill>
        </w:rPr>
        <w:br w:type="textWrapping" w:clear="all"/>
      </w:r>
    </w:p>
    <w:sectPr>
      <w:headerReference w:type="default" r:id="rId8"/>
      <w:footerReference w:type="default" r:id="rId9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Piedepgina"/>
    </w:pPr>
    <w:r>
      <w:rPr>
        <w:noProof/>
        <w:lang w:val="es-MX"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5028565</wp:posOffset>
          </wp:positionH>
          <wp:positionV relativeFrom="paragraph">
            <wp:posOffset>-958215</wp:posOffset>
          </wp:positionV>
          <wp:extent cx="4648373" cy="1441728"/>
          <wp:effectExtent l="0" t="0" r="0" b="635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5297" cy="144697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-297815</wp:posOffset>
          </wp:positionH>
          <wp:positionV relativeFrom="paragraph">
            <wp:posOffset>-259080</wp:posOffset>
          </wp:positionV>
          <wp:extent cx="3755390" cy="1091565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55390" cy="10915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BADBAED1-0257-49D1-B290-CD82AB978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</w:style>
  <w:style w:type="table" w:styleId="Tablaconcuadrcula">
    <w:name w:val="Table Grid"/>
    <w:basedOn w:val="Tabla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Hoja_de_c_lculo_de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spc="0" normalizeH="0" baseline="0">
                <a:solidFill>
                  <a:schemeClr val="dk1">
                    <a:lumMod val="50000"/>
                    <a:lumOff val="50000"/>
                  </a:schemeClr>
                </a:solidFill>
                <a:latin typeface="+mj-lt"/>
                <a:ea typeface="+mj-ea"/>
                <a:cs typeface="+mj-cs"/>
              </a:defRPr>
            </a:pPr>
            <a:r>
              <a:rPr lang="es-ES">
                <a:solidFill>
                  <a:schemeClr val="accent1">
                    <a:lumMod val="75000"/>
                  </a:schemeClr>
                </a:solidFill>
              </a:rPr>
              <a:t>Actividades de la Dirección de Planeación y Programación </a:t>
            </a:r>
          </a:p>
        </c:rich>
      </c:tx>
      <c:layout>
        <c:manualLayout>
          <c:xMode val="edge"/>
          <c:yMode val="edge"/>
          <c:x val="0.15836226313157309"/>
          <c:y val="5.5865921787709494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spc="0" normalizeH="0" baseline="0">
              <a:solidFill>
                <a:schemeClr val="dk1">
                  <a:lumMod val="50000"/>
                  <a:lumOff val="50000"/>
                </a:schemeClr>
              </a:solidFill>
              <a:latin typeface="+mj-lt"/>
              <a:ea typeface="+mj-ea"/>
              <a:cs typeface="+mj-cs"/>
            </a:defRPr>
          </a:pPr>
          <a:endParaRPr lang="es-MX"/>
        </a:p>
      </c:txPr>
    </c:title>
    <c:autoTitleDeleted val="0"/>
    <c:plotArea>
      <c:layout>
        <c:manualLayout>
          <c:layoutTarget val="inner"/>
          <c:xMode val="edge"/>
          <c:yMode val="edge"/>
          <c:x val="6.1459317585301834E-2"/>
          <c:y val="0.24113680154142583"/>
          <c:w val="0.91033555420956991"/>
          <c:h val="0.50764265016005949"/>
        </c:manualLayout>
      </c:layout>
      <c:barChart>
        <c:barDir val="col"/>
        <c:grouping val="clustered"/>
        <c:varyColors val="0"/>
        <c:ser>
          <c:idx val="0"/>
          <c:order val="0"/>
          <c:spPr>
            <a:gradFill>
              <a:gsLst>
                <a:gs pos="100000">
                  <a:schemeClr val="accent2">
                    <a:lumMod val="60000"/>
                    <a:lumOff val="40000"/>
                  </a:schemeClr>
                </a:gs>
                <a:gs pos="0">
                  <a:schemeClr val="accent2"/>
                </a:gs>
              </a:gsLst>
              <a:lin ang="5400000" scaled="0"/>
            </a:gradFill>
            <a:ln w="19050">
              <a:solidFill>
                <a:schemeClr val="lt1"/>
              </a:solidFill>
            </a:ln>
            <a:effectLst/>
          </c:spPr>
          <c:invertIfNegative val="0"/>
          <c:dPt>
            <c:idx val="0"/>
            <c:invertIfNegative val="0"/>
            <c:bubble3D val="0"/>
            <c:spPr>
              <a:pattFill prst="ltUpDiag">
                <a:fgClr>
                  <a:srgbClr val="44E8EC"/>
                </a:fgClr>
                <a:bgClr>
                  <a:schemeClr val="bg1"/>
                </a:bgClr>
              </a:patt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1D33-4F48-BCC0-5A93431A3F3C}"/>
              </c:ext>
            </c:extLst>
          </c:dPt>
          <c:dPt>
            <c:idx val="1"/>
            <c:invertIfNegative val="0"/>
            <c:bubble3D val="0"/>
            <c:spPr>
              <a:pattFill prst="dkUpDiag">
                <a:fgClr>
                  <a:srgbClr val="EA46DE"/>
                </a:fgClr>
                <a:bgClr>
                  <a:schemeClr val="bg1"/>
                </a:bgClr>
              </a:patt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1D33-4F48-BCC0-5A93431A3F3C}"/>
              </c:ext>
            </c:extLst>
          </c:dPt>
          <c:dPt>
            <c:idx val="2"/>
            <c:invertIfNegative val="0"/>
            <c:bubble3D val="0"/>
            <c:spPr>
              <a:pattFill prst="trellis">
                <a:fgClr>
                  <a:srgbClr val="FFC000"/>
                </a:fgClr>
                <a:bgClr>
                  <a:schemeClr val="bg1"/>
                </a:bgClr>
              </a:patt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1D33-4F48-BCC0-5A93431A3F3C}"/>
              </c:ext>
            </c:extLst>
          </c:dPt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chemeClr val="dk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MX"/>
                </a:p>
              </c:txPr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chemeClr val="dk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MX"/>
                </a:p>
              </c:txPr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chemeClr val="dk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MX"/>
                </a:p>
              </c:txPr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dk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Hoja1!$B$2:$D$2</c:f>
              <c:strCache>
                <c:ptCount val="3"/>
                <c:pt idx="0">
                  <c:v>Envío de oficios para visitar las Dependencias y sus Áreas </c:v>
                </c:pt>
                <c:pt idx="1">
                  <c:v>Dependencias y sus áreas, visitadas</c:v>
                </c:pt>
                <c:pt idx="2">
                  <c:v>Visitas a las colonias Residencial la Soledad y FOVISSSTE Miravalle dentro del marco del Diagnóstico Participativo</c:v>
                </c:pt>
              </c:strCache>
            </c:strRef>
          </c:cat>
          <c:val>
            <c:numRef>
              <c:f>Hoja1!$B$3:$D$3</c:f>
              <c:numCache>
                <c:formatCode>General</c:formatCode>
                <c:ptCount val="3"/>
                <c:pt idx="0">
                  <c:v>15</c:v>
                </c:pt>
                <c:pt idx="1">
                  <c:v>74</c:v>
                </c:pt>
                <c:pt idx="2">
                  <c:v>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1D33-4F48-BCC0-5A93431A3F3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6790784"/>
        <c:axId val="136793136"/>
      </c:barChart>
      <c:catAx>
        <c:axId val="13679078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none" spc="0" normalizeH="0" baseline="0">
                <a:solidFill>
                  <a:schemeClr val="accent1">
                    <a:lumMod val="7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136793136"/>
        <c:crosses val="autoZero"/>
        <c:auto val="1"/>
        <c:lblAlgn val="ctr"/>
        <c:lblOffset val="100"/>
        <c:noMultiLvlLbl val="0"/>
      </c:catAx>
      <c:valAx>
        <c:axId val="13679313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13679078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noFill/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withinLinear" id="15">
  <a:schemeClr val="accent2"/>
</cs:colorStyle>
</file>

<file path=word/charts/style1.xml><?xml version="1.0" encoding="utf-8"?>
<cs:chartStyle xmlns:cs="http://schemas.microsoft.com/office/drawing/2012/chartStyle" xmlns:a="http://schemas.openxmlformats.org/drawingml/2006/main" id="256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 cap="none" spc="0" normalizeH="0" baseline="0"/>
  </cs:categoryAxis>
  <cs:chartArea>
    <cs:lnRef idx="0"/>
    <cs:fillRef idx="0"/>
    <cs:effectRef idx="0"/>
    <cs:fontRef idx="minor">
      <a:schemeClr val="dk1"/>
    </cs:fontRef>
    <cs:spPr>
      <a:pattFill prst="dkDnDiag">
        <a:fgClr>
          <a:schemeClr val="lt1"/>
        </a:fgClr>
        <a:bgClr>
          <a:schemeClr val="dk1">
            <a:lumMod val="10000"/>
            <a:lumOff val="90000"/>
          </a:schemeClr>
        </a:bgClr>
      </a:patt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5000"/>
        </a:schemeClr>
      </a:solidFill>
      <a:ln w="9525"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gradFill>
        <a:gsLst>
          <a:gs pos="100000">
            <a:schemeClr val="phClr">
              <a:lumMod val="60000"/>
              <a:lumOff val="40000"/>
            </a:schemeClr>
          </a:gs>
          <a:gs pos="0">
            <a:schemeClr val="phClr"/>
          </a:gs>
        </a:gsLst>
        <a:lin ang="5400000" scaled="0"/>
      </a:gradFill>
      <a:ln w="19050">
        <a:solidFill>
          <a:schemeClr val="lt1"/>
        </a:solidFill>
      </a:ln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gradFill>
        <a:gsLst>
          <a:gs pos="100000">
            <a:schemeClr val="phClr">
              <a:lumMod val="60000"/>
              <a:lumOff val="40000"/>
            </a:schemeClr>
          </a:gs>
          <a:gs pos="0">
            <a:schemeClr val="phClr"/>
          </a:gs>
        </a:gsLst>
        <a:lin ang="5400000" scaled="0"/>
      </a:gradFill>
      <a:ln w="508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lt1"/>
      </a:solidFill>
      <a:ln w="1587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8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50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ajor">
      <a:schemeClr val="dk1">
        <a:lumMod val="50000"/>
        <a:lumOff val="50000"/>
      </a:schemeClr>
    </cs:fontRef>
    <cs:defRPr sz="1600" b="1" kern="1200" spc="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AEA4B7-9BE8-4746-925C-9419D50C6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Inocencia Sanchez</dc:creator>
  <cp:keywords/>
  <dc:description/>
  <cp:lastModifiedBy>Cesar Ignacio Bocanegra Alvarado</cp:lastModifiedBy>
  <cp:revision>2</cp:revision>
  <cp:lastPrinted>2022-03-18T18:45:00Z</cp:lastPrinted>
  <dcterms:created xsi:type="dcterms:W3CDTF">2022-03-18T20:37:00Z</dcterms:created>
  <dcterms:modified xsi:type="dcterms:W3CDTF">2022-03-18T20:37:00Z</dcterms:modified>
</cp:coreProperties>
</file>