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both"/>
        <w:rPr>
          <w:rFonts w:ascii="Arial" w:hAnsi="Arial" w:cs="Arial"/>
          <w:b/>
          <w:sz w:val="16"/>
          <w:szCs w:val="16"/>
        </w:rPr>
      </w:pPr>
    </w:p>
    <w:p>
      <w:pPr>
        <w:jc w:val="both"/>
        <w:rPr>
          <w:rFonts w:ascii="Arial" w:hAnsi="Arial" w:cs="Arial"/>
          <w:b/>
          <w:sz w:val="16"/>
          <w:szCs w:val="16"/>
        </w:rPr>
      </w:pPr>
    </w:p>
    <w:p>
      <w:pPr>
        <w:jc w:val="both"/>
        <w:rPr>
          <w:rFonts w:ascii="Arial" w:hAnsi="Arial" w:cs="Arial"/>
          <w:b/>
          <w:sz w:val="16"/>
          <w:szCs w:val="16"/>
        </w:rPr>
      </w:pPr>
    </w:p>
    <w:p>
      <w:pPr>
        <w:jc w:val="both"/>
        <w:rPr>
          <w:rFonts w:ascii="Arial" w:hAnsi="Arial" w:cs="Arial"/>
          <w:b/>
          <w:sz w:val="16"/>
          <w:szCs w:val="16"/>
        </w:rPr>
      </w:pPr>
    </w:p>
    <w:p>
      <w:pPr>
        <w:jc w:val="both"/>
        <w:rPr>
          <w:rFonts w:ascii="Arial" w:hAnsi="Arial" w:cs="Arial"/>
          <w:b/>
          <w:sz w:val="28"/>
          <w:szCs w:val="28"/>
        </w:rPr>
      </w:pPr>
      <w:r>
        <w:rPr>
          <w:rFonts w:ascii="Arial" w:hAnsi="Arial" w:cs="Arial"/>
          <w:b/>
          <w:sz w:val="28"/>
          <w:szCs w:val="28"/>
        </w:rPr>
        <w:t xml:space="preserve">P R E S E N T E.    </w:t>
      </w:r>
    </w:p>
    <w:p>
      <w:pPr>
        <w:jc w:val="right"/>
        <w:rPr>
          <w:rFonts w:ascii="Arial" w:hAnsi="Arial" w:cs="Arial"/>
          <w:sz w:val="28"/>
          <w:szCs w:val="28"/>
        </w:rPr>
      </w:pPr>
      <w:r>
        <w:rPr>
          <w:rFonts w:ascii="Arial" w:hAnsi="Arial" w:cs="Arial"/>
          <w:b/>
          <w:sz w:val="28"/>
          <w:szCs w:val="28"/>
        </w:rPr>
        <w:t xml:space="preserve">                                                                                                                                           </w:t>
      </w:r>
    </w:p>
    <w:p>
      <w:pPr>
        <w:ind w:firstLine="2160"/>
        <w:jc w:val="both"/>
        <w:rPr>
          <w:rFonts w:ascii="Arial" w:hAnsi="Arial" w:cs="Arial"/>
          <w:sz w:val="28"/>
          <w:szCs w:val="28"/>
        </w:rPr>
      </w:pPr>
    </w:p>
    <w:p>
      <w:pPr>
        <w:ind w:firstLine="708"/>
        <w:jc w:val="both"/>
        <w:rPr>
          <w:rFonts w:ascii="Arial" w:hAnsi="Arial" w:cs="Arial"/>
          <w:sz w:val="28"/>
          <w:szCs w:val="28"/>
        </w:rPr>
      </w:pPr>
      <w:r>
        <w:rPr>
          <w:rFonts w:ascii="Arial" w:hAnsi="Arial" w:cs="Arial"/>
          <w:sz w:val="28"/>
          <w:szCs w:val="28"/>
        </w:rPr>
        <w:t xml:space="preserve">Por este conducto reciba un cordial saludo, sirva este medio para hacer del conocimiento que con fundamento en lo                                                                                  dispuesto por los artículos 29 fracción III,  47 fracción III, 48 fracción V y 67 ter fracción II,  de la Ley del Gobierno y la Administración Pública Municipal del Estado de Jalisco; así como los artículos 1, 21, 27 fracción XII, 123, 124, 127 y 130 del Reglamento del Gobierno y de la Administración Pública del Ayuntamiento Constitucional de San Pedro Tlaquepaque, se le CONVOCA a la </w:t>
      </w:r>
      <w:r>
        <w:rPr>
          <w:rFonts w:ascii="Arial" w:hAnsi="Arial" w:cs="Arial"/>
          <w:b/>
          <w:bCs/>
          <w:sz w:val="28"/>
          <w:szCs w:val="28"/>
        </w:rPr>
        <w:t>Sesión Solemne</w:t>
      </w:r>
      <w:r>
        <w:rPr>
          <w:rFonts w:ascii="Arial" w:hAnsi="Arial" w:cs="Arial"/>
          <w:sz w:val="28"/>
          <w:szCs w:val="28"/>
        </w:rPr>
        <w:t xml:space="preserve">, la cual tendrá verificativo el día </w:t>
      </w:r>
      <w:r>
        <w:rPr>
          <w:rFonts w:ascii="Arial" w:hAnsi="Arial" w:cs="Arial"/>
          <w:b/>
          <w:sz w:val="28"/>
          <w:szCs w:val="28"/>
        </w:rPr>
        <w:t>sábado</w:t>
      </w:r>
      <w:r>
        <w:rPr>
          <w:rFonts w:ascii="Arial" w:hAnsi="Arial" w:cs="Arial"/>
          <w:sz w:val="28"/>
          <w:szCs w:val="28"/>
        </w:rPr>
        <w:t xml:space="preserve"> </w:t>
      </w:r>
      <w:r>
        <w:rPr>
          <w:rFonts w:ascii="Arial" w:hAnsi="Arial" w:cs="Arial"/>
          <w:b/>
          <w:bCs/>
          <w:sz w:val="28"/>
          <w:szCs w:val="28"/>
        </w:rPr>
        <w:t>01 de enero del año 2022, a las 10:00 horas</w:t>
      </w:r>
      <w:r>
        <w:rPr>
          <w:rFonts w:ascii="Arial" w:hAnsi="Arial" w:cs="Arial"/>
          <w:sz w:val="28"/>
          <w:szCs w:val="28"/>
        </w:rPr>
        <w:t xml:space="preserve">, en </w:t>
      </w:r>
      <w:r>
        <w:rPr>
          <w:rFonts w:ascii="Arial" w:hAnsi="Arial" w:cs="Arial"/>
          <w:b/>
          <w:sz w:val="28"/>
          <w:szCs w:val="28"/>
        </w:rPr>
        <w:t>El Patio San Pedro del Centro Cultural El Refugio</w:t>
      </w:r>
      <w:r>
        <w:rPr>
          <w:rFonts w:ascii="Arial" w:hAnsi="Arial" w:cs="Arial"/>
          <w:sz w:val="28"/>
          <w:szCs w:val="28"/>
        </w:rPr>
        <w:t>, ubicado en la calle Contreras Medellín 144, en la Zona Centro de ésta Cabecera Municipal, bajo el siguiente:</w:t>
      </w:r>
    </w:p>
    <w:p>
      <w:pPr>
        <w:ind w:firstLine="708"/>
        <w:jc w:val="both"/>
        <w:rPr>
          <w:rFonts w:ascii="Arial" w:hAnsi="Arial" w:cs="Arial"/>
          <w:sz w:val="28"/>
          <w:szCs w:val="28"/>
        </w:rPr>
      </w:pPr>
    </w:p>
    <w:p>
      <w:pPr>
        <w:ind w:firstLine="708"/>
        <w:jc w:val="both"/>
        <w:rPr>
          <w:rFonts w:ascii="Arial" w:hAnsi="Arial" w:cs="Arial"/>
          <w:sz w:val="28"/>
          <w:szCs w:val="28"/>
        </w:rPr>
      </w:pPr>
    </w:p>
    <w:p>
      <w:pPr>
        <w:jc w:val="center"/>
        <w:rPr>
          <w:rFonts w:ascii="Arial" w:hAnsi="Arial" w:cs="Arial"/>
          <w:b/>
          <w:sz w:val="28"/>
          <w:szCs w:val="28"/>
        </w:rPr>
      </w:pPr>
      <w:r>
        <w:rPr>
          <w:rFonts w:ascii="Arial" w:hAnsi="Arial" w:cs="Arial"/>
          <w:b/>
          <w:sz w:val="28"/>
          <w:szCs w:val="28"/>
        </w:rPr>
        <w:t>ORDEN DEL DÍA:</w:t>
      </w:r>
    </w:p>
    <w:p>
      <w:pPr>
        <w:jc w:val="center"/>
        <w:rPr>
          <w:rFonts w:ascii="Arial" w:hAnsi="Arial" w:cs="Arial"/>
          <w:b/>
          <w:sz w:val="28"/>
          <w:szCs w:val="28"/>
        </w:rPr>
      </w:pPr>
    </w:p>
    <w:p>
      <w:pPr>
        <w:jc w:val="center"/>
        <w:rPr>
          <w:rFonts w:ascii="Arial" w:hAnsi="Arial" w:cs="Arial"/>
          <w:b/>
          <w:sz w:val="28"/>
          <w:szCs w:val="28"/>
        </w:rPr>
      </w:pPr>
    </w:p>
    <w:p>
      <w:pPr>
        <w:ind w:left="705" w:hanging="705"/>
        <w:jc w:val="both"/>
        <w:rPr>
          <w:rFonts w:ascii="Arial" w:hAnsi="Arial" w:cs="Arial"/>
          <w:sz w:val="28"/>
          <w:szCs w:val="28"/>
        </w:rPr>
      </w:pPr>
      <w:r>
        <w:rPr>
          <w:rFonts w:ascii="Arial" w:hAnsi="Arial" w:cs="Arial"/>
          <w:b/>
          <w:sz w:val="28"/>
          <w:szCs w:val="28"/>
        </w:rPr>
        <w:t xml:space="preserve">I.- </w:t>
      </w:r>
      <w:r>
        <w:rPr>
          <w:rFonts w:ascii="Arial" w:hAnsi="Arial" w:cs="Arial"/>
          <w:b/>
          <w:sz w:val="28"/>
          <w:szCs w:val="28"/>
        </w:rPr>
        <w:tab/>
      </w:r>
      <w:r>
        <w:rPr>
          <w:rFonts w:ascii="Arial" w:hAnsi="Arial" w:cs="Arial"/>
          <w:sz w:val="28"/>
          <w:szCs w:val="28"/>
        </w:rPr>
        <w:t>Lista de asistencia y verificación del quórum.</w:t>
      </w:r>
    </w:p>
    <w:p>
      <w:pPr>
        <w:pStyle w:val="Prrafodelista"/>
        <w:jc w:val="both"/>
        <w:rPr>
          <w:rFonts w:ascii="Arial" w:hAnsi="Arial" w:cs="Arial"/>
          <w:sz w:val="28"/>
          <w:szCs w:val="28"/>
        </w:rPr>
      </w:pPr>
    </w:p>
    <w:p>
      <w:pPr>
        <w:pStyle w:val="Prrafodelista"/>
        <w:jc w:val="both"/>
        <w:rPr>
          <w:rFonts w:ascii="Arial" w:hAnsi="Arial" w:cs="Arial"/>
          <w:sz w:val="28"/>
          <w:szCs w:val="28"/>
        </w:rPr>
      </w:pPr>
    </w:p>
    <w:p>
      <w:pPr>
        <w:ind w:left="709" w:hanging="709"/>
        <w:jc w:val="both"/>
        <w:rPr>
          <w:rFonts w:ascii="Arial" w:hAnsi="Arial" w:cs="Arial"/>
          <w:b/>
          <w:bCs/>
          <w:sz w:val="28"/>
          <w:szCs w:val="28"/>
        </w:rPr>
      </w:pPr>
      <w:r>
        <w:rPr>
          <w:rFonts w:ascii="Arial" w:hAnsi="Arial" w:cs="Arial"/>
          <w:b/>
          <w:sz w:val="28"/>
          <w:szCs w:val="28"/>
        </w:rPr>
        <w:t xml:space="preserve">II.- </w:t>
      </w:r>
      <w:r>
        <w:rPr>
          <w:rFonts w:ascii="Arial" w:hAnsi="Arial" w:cs="Arial"/>
          <w:sz w:val="28"/>
          <w:szCs w:val="28"/>
        </w:rPr>
        <w:tab/>
        <w:t>Lectura del acta de Sesión Solemne de fecha 31 de diciembre del año 2021, correspondiente a la Toma de Protesta</w:t>
      </w:r>
      <w:r>
        <w:rPr>
          <w:rFonts w:ascii="Arial" w:hAnsi="Arial" w:cs="Arial"/>
          <w:bCs/>
          <w:sz w:val="28"/>
          <w:szCs w:val="28"/>
        </w:rPr>
        <w:t xml:space="preserve"> de los Integrantes del Ayuntamiento </w:t>
      </w:r>
      <w:r>
        <w:rPr>
          <w:rFonts w:ascii="Arial" w:hAnsi="Arial" w:cs="Arial"/>
          <w:sz w:val="28"/>
          <w:szCs w:val="28"/>
        </w:rPr>
        <w:t>de San Pedro Tlaquepaque, Administración Pública Municipal 2022-2024.</w:t>
      </w:r>
    </w:p>
    <w:p>
      <w:pPr>
        <w:ind w:left="709" w:hanging="709"/>
        <w:jc w:val="both"/>
        <w:rPr>
          <w:rFonts w:ascii="Arial" w:hAnsi="Arial" w:cs="Arial"/>
          <w:sz w:val="28"/>
          <w:szCs w:val="28"/>
        </w:rPr>
      </w:pPr>
    </w:p>
    <w:p>
      <w:pPr>
        <w:ind w:left="709" w:hanging="709"/>
        <w:jc w:val="both"/>
        <w:rPr>
          <w:rFonts w:ascii="Arial" w:hAnsi="Arial" w:cs="Arial"/>
          <w:b/>
          <w:i/>
        </w:rPr>
      </w:pPr>
      <w:r>
        <w:rPr>
          <w:rFonts w:ascii="Arial" w:hAnsi="Arial" w:cs="Arial"/>
          <w:b/>
          <w:sz w:val="28"/>
          <w:szCs w:val="28"/>
        </w:rPr>
        <w:t xml:space="preserve">III.- </w:t>
      </w:r>
      <w:r>
        <w:rPr>
          <w:rFonts w:ascii="Arial" w:hAnsi="Arial" w:cs="Arial"/>
          <w:sz w:val="28"/>
          <w:szCs w:val="28"/>
        </w:rPr>
        <w:tab/>
        <w:t xml:space="preserve">Lectura </w:t>
      </w:r>
      <w:r>
        <w:rPr>
          <w:rFonts w:ascii="Arial" w:hAnsi="Arial" w:cs="Arial"/>
          <w:bCs/>
          <w:sz w:val="28"/>
          <w:szCs w:val="28"/>
        </w:rPr>
        <w:t xml:space="preserve">del acuerdo del Concejo Municipal de fecha 10 de diciembre del año 2021, mediante el cual </w:t>
      </w:r>
      <w:r>
        <w:rPr>
          <w:rFonts w:ascii="Arial" w:hAnsi="Arial" w:cs="Arial"/>
          <w:sz w:val="28"/>
          <w:szCs w:val="28"/>
        </w:rPr>
        <w:t xml:space="preserve">se aprueba habilitar como recinto oficial </w:t>
      </w:r>
      <w:r>
        <w:rPr>
          <w:rFonts w:ascii="Arial" w:hAnsi="Arial" w:cs="Arial"/>
          <w:b/>
          <w:bCs/>
          <w:sz w:val="28"/>
          <w:szCs w:val="28"/>
        </w:rPr>
        <w:t>El Patio San Pedro del Centro Cultural El Refugio</w:t>
      </w:r>
      <w:r>
        <w:rPr>
          <w:rFonts w:ascii="Arial" w:hAnsi="Arial" w:cs="Arial"/>
          <w:sz w:val="28"/>
          <w:szCs w:val="28"/>
        </w:rPr>
        <w:t xml:space="preserve">, ubicado en el número 144 de la calle Contreras Medellín de ésta cabecera municipal, a efecto de celebrar </w:t>
      </w:r>
      <w:r>
        <w:rPr>
          <w:rFonts w:ascii="Arial" w:hAnsi="Arial" w:cs="Arial"/>
          <w:b/>
          <w:bCs/>
          <w:sz w:val="28"/>
          <w:szCs w:val="28"/>
        </w:rPr>
        <w:t>Sesión Solemne el próximo 01 de enero del año 2022</w:t>
      </w:r>
      <w:r>
        <w:rPr>
          <w:rFonts w:ascii="Arial" w:hAnsi="Arial" w:cs="Arial"/>
          <w:sz w:val="28"/>
          <w:szCs w:val="28"/>
        </w:rPr>
        <w:t>, habilitándose todo el día con motivo de la</w:t>
      </w:r>
      <w:r>
        <w:rPr>
          <w:rFonts w:ascii="Arial" w:hAnsi="Arial" w:cs="Arial"/>
          <w:b/>
        </w:rPr>
        <w:t xml:space="preserve"> </w:t>
      </w:r>
      <w:r>
        <w:rPr>
          <w:rFonts w:ascii="Arial" w:hAnsi="Arial" w:cs="Arial"/>
          <w:b/>
          <w:sz w:val="28"/>
        </w:rPr>
        <w:t>Instalación del Ayuntamiento de San Pedro Tlaquepaque, Administración Pública Municipal 2022-2024.</w:t>
      </w:r>
    </w:p>
    <w:p>
      <w:pPr>
        <w:ind w:left="709" w:hanging="709"/>
        <w:jc w:val="both"/>
        <w:rPr>
          <w:rFonts w:ascii="Arial" w:hAnsi="Arial" w:cs="Arial"/>
          <w:spacing w:val="-3"/>
          <w:sz w:val="28"/>
          <w:szCs w:val="28"/>
        </w:rPr>
      </w:pPr>
      <w:r>
        <w:rPr>
          <w:rFonts w:ascii="Arial" w:hAnsi="Arial" w:cs="Arial"/>
          <w:b/>
          <w:sz w:val="28"/>
          <w:szCs w:val="28"/>
        </w:rPr>
        <w:t>IV.-</w:t>
      </w:r>
      <w:r>
        <w:rPr>
          <w:rFonts w:ascii="Arial" w:hAnsi="Arial" w:cs="Arial"/>
          <w:sz w:val="28"/>
          <w:szCs w:val="28"/>
        </w:rPr>
        <w:t xml:space="preserve"> </w:t>
      </w:r>
      <w:r>
        <w:rPr>
          <w:rFonts w:ascii="Arial" w:hAnsi="Arial" w:cs="Arial"/>
          <w:sz w:val="28"/>
          <w:szCs w:val="28"/>
        </w:rPr>
        <w:tab/>
        <w:t>P</w:t>
      </w:r>
      <w:r>
        <w:rPr>
          <w:rFonts w:ascii="Arial" w:hAnsi="Arial" w:cs="Arial"/>
          <w:spacing w:val="-3"/>
          <w:sz w:val="28"/>
          <w:szCs w:val="28"/>
        </w:rPr>
        <w:t xml:space="preserve">ropuesta a consideración del Ayuntamiento de los nombramientos de los Funcionarios Encargados de la Secretaría del Ayuntamiento y de la Tesorería Municipal, así </w:t>
      </w:r>
      <w:r>
        <w:rPr>
          <w:rFonts w:ascii="Arial" w:hAnsi="Arial" w:cs="Arial"/>
          <w:spacing w:val="-3"/>
          <w:sz w:val="28"/>
          <w:szCs w:val="28"/>
        </w:rPr>
        <w:lastRenderedPageBreak/>
        <w:t>como la designación del Encargado de Despacho de la Contraloría Ciudadana.</w:t>
      </w:r>
    </w:p>
    <w:p>
      <w:pPr>
        <w:ind w:left="709" w:hanging="709"/>
        <w:jc w:val="both"/>
        <w:rPr>
          <w:rFonts w:ascii="Arial" w:hAnsi="Arial" w:cs="Arial"/>
          <w:sz w:val="28"/>
          <w:szCs w:val="28"/>
        </w:rPr>
      </w:pPr>
    </w:p>
    <w:p>
      <w:pPr>
        <w:ind w:left="709" w:hanging="709"/>
        <w:jc w:val="both"/>
        <w:rPr>
          <w:rFonts w:ascii="Arial" w:hAnsi="Arial" w:cs="Arial"/>
          <w:sz w:val="28"/>
          <w:szCs w:val="28"/>
        </w:rPr>
      </w:pPr>
    </w:p>
    <w:p>
      <w:pPr>
        <w:ind w:left="709" w:hanging="709"/>
        <w:jc w:val="both"/>
        <w:rPr>
          <w:rFonts w:ascii="Arial" w:hAnsi="Arial" w:cs="Arial"/>
          <w:sz w:val="28"/>
          <w:szCs w:val="28"/>
        </w:rPr>
      </w:pPr>
    </w:p>
    <w:p>
      <w:pPr>
        <w:ind w:left="709" w:hanging="709"/>
        <w:jc w:val="both"/>
        <w:rPr>
          <w:rFonts w:ascii="Arial" w:hAnsi="Arial" w:cs="Arial"/>
          <w:sz w:val="28"/>
          <w:szCs w:val="28"/>
        </w:rPr>
      </w:pPr>
      <w:r>
        <w:rPr>
          <w:rFonts w:ascii="Arial" w:hAnsi="Arial" w:cs="Arial"/>
          <w:b/>
          <w:sz w:val="28"/>
          <w:szCs w:val="28"/>
        </w:rPr>
        <w:t>V.-</w:t>
      </w:r>
      <w:r>
        <w:rPr>
          <w:rFonts w:ascii="Arial" w:hAnsi="Arial" w:cs="Arial"/>
          <w:sz w:val="28"/>
          <w:szCs w:val="28"/>
        </w:rPr>
        <w:t xml:space="preserve"> </w:t>
      </w:r>
      <w:r>
        <w:rPr>
          <w:rFonts w:ascii="Arial" w:hAnsi="Arial" w:cs="Arial"/>
          <w:spacing w:val="-3"/>
          <w:sz w:val="28"/>
          <w:szCs w:val="28"/>
        </w:rPr>
        <w:t>Propuesta de nombramientos cuya facultad exclusiva corresponda el Ayuntamiento.</w:t>
      </w:r>
    </w:p>
    <w:p>
      <w:pPr>
        <w:ind w:left="709" w:hanging="709"/>
        <w:jc w:val="both"/>
        <w:rPr>
          <w:rFonts w:ascii="Arial" w:hAnsi="Arial" w:cs="Arial"/>
          <w:sz w:val="28"/>
          <w:szCs w:val="28"/>
        </w:rPr>
      </w:pPr>
    </w:p>
    <w:p>
      <w:pPr>
        <w:ind w:left="709" w:hanging="709"/>
        <w:jc w:val="both"/>
        <w:rPr>
          <w:rFonts w:ascii="Arial" w:hAnsi="Arial" w:cs="Arial"/>
          <w:sz w:val="28"/>
          <w:szCs w:val="28"/>
        </w:rPr>
      </w:pPr>
    </w:p>
    <w:p>
      <w:pPr>
        <w:ind w:left="709" w:hanging="709"/>
        <w:jc w:val="both"/>
        <w:rPr>
          <w:rFonts w:ascii="Arial" w:hAnsi="Arial" w:cs="Arial"/>
          <w:sz w:val="28"/>
          <w:szCs w:val="28"/>
        </w:rPr>
      </w:pPr>
      <w:r>
        <w:rPr>
          <w:rFonts w:ascii="Arial" w:hAnsi="Arial" w:cs="Arial"/>
          <w:b/>
          <w:sz w:val="28"/>
          <w:szCs w:val="28"/>
        </w:rPr>
        <w:t>VI.-</w:t>
      </w:r>
      <w:r>
        <w:rPr>
          <w:rFonts w:ascii="Arial" w:hAnsi="Arial" w:cs="Arial"/>
          <w:sz w:val="28"/>
          <w:szCs w:val="28"/>
        </w:rPr>
        <w:t xml:space="preserve">   </w:t>
      </w:r>
      <w:r>
        <w:rPr>
          <w:rFonts w:ascii="Arial" w:hAnsi="Arial" w:cs="Arial"/>
          <w:spacing w:val="-3"/>
          <w:sz w:val="28"/>
          <w:szCs w:val="28"/>
        </w:rPr>
        <w:t xml:space="preserve">Propuesta de la integración de las Comisiones Edilicias y su votación. </w:t>
      </w:r>
    </w:p>
    <w:p>
      <w:pPr>
        <w:jc w:val="both"/>
        <w:rPr>
          <w:rFonts w:ascii="Arial" w:hAnsi="Arial" w:cs="Arial"/>
          <w:b/>
          <w:bCs/>
          <w:sz w:val="28"/>
          <w:szCs w:val="28"/>
        </w:rPr>
      </w:pPr>
    </w:p>
    <w:p>
      <w:pPr>
        <w:pStyle w:val="Prrafodelista"/>
        <w:jc w:val="both"/>
        <w:rPr>
          <w:rFonts w:ascii="Arial" w:hAnsi="Arial" w:cs="Arial"/>
          <w:b/>
          <w:bCs/>
          <w:sz w:val="28"/>
          <w:szCs w:val="28"/>
        </w:rPr>
      </w:pPr>
    </w:p>
    <w:p>
      <w:pPr>
        <w:ind w:left="567" w:hanging="567"/>
        <w:jc w:val="both"/>
        <w:rPr>
          <w:rFonts w:ascii="Arial" w:hAnsi="Arial" w:cs="Arial"/>
          <w:b/>
          <w:bCs/>
          <w:sz w:val="28"/>
          <w:szCs w:val="28"/>
        </w:rPr>
      </w:pPr>
      <w:r>
        <w:rPr>
          <w:rFonts w:ascii="Arial" w:hAnsi="Arial" w:cs="Arial"/>
          <w:b/>
          <w:bCs/>
          <w:sz w:val="28"/>
          <w:szCs w:val="28"/>
        </w:rPr>
        <w:t xml:space="preserve">VII.- </w:t>
      </w:r>
      <w:r>
        <w:rPr>
          <w:rFonts w:ascii="Arial" w:hAnsi="Arial" w:cs="Arial"/>
          <w:bCs/>
          <w:sz w:val="28"/>
          <w:szCs w:val="28"/>
        </w:rPr>
        <w:t xml:space="preserve">Clausura de la Sesión Solemne, </w:t>
      </w:r>
      <w:r>
        <w:rPr>
          <w:rFonts w:ascii="Arial" w:hAnsi="Arial" w:cs="Arial"/>
          <w:spacing w:val="-3"/>
          <w:sz w:val="28"/>
          <w:szCs w:val="28"/>
        </w:rPr>
        <w:t>y citación para la próxima sesión.</w:t>
      </w:r>
    </w:p>
    <w:p>
      <w:pPr>
        <w:jc w:val="both"/>
        <w:rPr>
          <w:rFonts w:ascii="Arial" w:hAnsi="Arial" w:cs="Arial"/>
          <w:b/>
          <w:bCs/>
          <w:sz w:val="28"/>
          <w:szCs w:val="28"/>
        </w:rPr>
      </w:pPr>
    </w:p>
    <w:p>
      <w:pPr>
        <w:pStyle w:val="Sangradetextonormal"/>
        <w:tabs>
          <w:tab w:val="left" w:pos="709"/>
        </w:tabs>
        <w:spacing w:line="276" w:lineRule="auto"/>
        <w:ind w:left="0"/>
        <w:jc w:val="both"/>
        <w:rPr>
          <w:rFonts w:cs="Arial"/>
          <w:sz w:val="18"/>
          <w:szCs w:val="18"/>
        </w:rPr>
      </w:pPr>
    </w:p>
    <w:p>
      <w:pPr>
        <w:pStyle w:val="Prrafodelista"/>
        <w:autoSpaceDE w:val="0"/>
        <w:autoSpaceDN w:val="0"/>
        <w:adjustRightInd w:val="0"/>
        <w:jc w:val="both"/>
        <w:rPr>
          <w:rFonts w:ascii="Arial" w:hAnsi="Arial" w:cs="Arial"/>
          <w:sz w:val="28"/>
          <w:szCs w:val="28"/>
        </w:rPr>
      </w:pPr>
    </w:p>
    <w:p>
      <w:pPr>
        <w:pStyle w:val="Prrafodelista"/>
        <w:autoSpaceDE w:val="0"/>
        <w:autoSpaceDN w:val="0"/>
        <w:adjustRightInd w:val="0"/>
        <w:jc w:val="both"/>
        <w:rPr>
          <w:rFonts w:ascii="Arial" w:hAnsi="Arial" w:cs="Arial"/>
          <w:sz w:val="28"/>
          <w:szCs w:val="28"/>
        </w:rPr>
      </w:pPr>
    </w:p>
    <w:p>
      <w:pPr>
        <w:pStyle w:val="Prrafodelista"/>
        <w:autoSpaceDE w:val="0"/>
        <w:autoSpaceDN w:val="0"/>
        <w:adjustRightInd w:val="0"/>
        <w:jc w:val="both"/>
        <w:rPr>
          <w:rFonts w:ascii="Arial" w:hAnsi="Arial" w:cs="Arial"/>
          <w:sz w:val="28"/>
          <w:szCs w:val="28"/>
        </w:rPr>
      </w:pPr>
    </w:p>
    <w:p>
      <w:pPr>
        <w:ind w:left="-1191" w:right="-799"/>
        <w:jc w:val="center"/>
        <w:rPr>
          <w:rFonts w:ascii="Arial" w:hAnsi="Arial" w:cs="Arial"/>
          <w:b/>
          <w:bCs/>
          <w:sz w:val="28"/>
          <w:szCs w:val="28"/>
        </w:rPr>
      </w:pPr>
      <w:r>
        <w:rPr>
          <w:rFonts w:ascii="Arial" w:hAnsi="Arial" w:cs="Arial"/>
          <w:b/>
          <w:bCs/>
          <w:sz w:val="28"/>
          <w:szCs w:val="28"/>
        </w:rPr>
        <w:t>San Pedro Tlaquepaque, Jalisco, a 01 de enero del año 2022.</w:t>
      </w:r>
    </w:p>
    <w:p>
      <w:pPr>
        <w:ind w:left="-1191" w:right="-799"/>
        <w:jc w:val="center"/>
        <w:rPr>
          <w:rFonts w:ascii="Arial" w:hAnsi="Arial" w:cs="Arial"/>
          <w:b/>
          <w:bCs/>
          <w:sz w:val="28"/>
          <w:szCs w:val="28"/>
        </w:rPr>
      </w:pPr>
      <w:r>
        <w:rPr>
          <w:rFonts w:ascii="Arial" w:hAnsi="Arial" w:cs="Arial"/>
          <w:b/>
          <w:bCs/>
          <w:sz w:val="28"/>
          <w:szCs w:val="28"/>
        </w:rPr>
        <w:t>ATENTAMENTE</w:t>
      </w: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jc w:val="center"/>
        <w:rPr>
          <w:rFonts w:ascii="Arial" w:hAnsi="Arial" w:cs="Arial"/>
          <w:b/>
          <w:sz w:val="28"/>
          <w:szCs w:val="28"/>
        </w:rPr>
      </w:pPr>
      <w:r>
        <w:rPr>
          <w:rFonts w:ascii="Arial" w:hAnsi="Arial" w:cs="Arial"/>
          <w:b/>
          <w:sz w:val="28"/>
          <w:szCs w:val="28"/>
        </w:rPr>
        <w:t>MIRNA CITLALLI AMAYA DE LUNA</w:t>
      </w:r>
    </w:p>
    <w:p>
      <w:pPr>
        <w:ind w:left="-1134" w:right="-799"/>
        <w:jc w:val="center"/>
        <w:rPr>
          <w:rFonts w:ascii="Arial" w:hAnsi="Arial" w:cs="Arial"/>
          <w:bCs/>
          <w:sz w:val="28"/>
          <w:szCs w:val="28"/>
        </w:rPr>
      </w:pPr>
      <w:r>
        <w:rPr>
          <w:rFonts w:ascii="Arial" w:hAnsi="Arial" w:cs="Arial"/>
          <w:b/>
          <w:sz w:val="28"/>
          <w:szCs w:val="28"/>
        </w:rPr>
        <w:t>PRESIDENTA MUNICIPAL</w:t>
      </w: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
          <w:bCs/>
          <w:sz w:val="28"/>
          <w:szCs w:val="28"/>
        </w:rPr>
      </w:pPr>
    </w:p>
    <w:p>
      <w:pPr>
        <w:ind w:left="-1191" w:right="-799"/>
        <w:jc w:val="center"/>
        <w:rPr>
          <w:rFonts w:ascii="Arial" w:hAnsi="Arial" w:cs="Arial"/>
          <w:bCs/>
          <w:sz w:val="28"/>
          <w:szCs w:val="28"/>
        </w:rPr>
      </w:pPr>
    </w:p>
    <w:p>
      <w:pPr>
        <w:ind w:left="-1134" w:right="-799"/>
        <w:rPr>
          <w:rFonts w:ascii="Arial" w:hAnsi="Arial" w:cs="Arial"/>
          <w:bCs/>
          <w:sz w:val="28"/>
          <w:szCs w:val="28"/>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hanging="284"/>
        <w:rPr>
          <w:rFonts w:ascii="Arial" w:hAnsi="Arial" w:cs="Arial"/>
          <w:bCs/>
          <w:sz w:val="16"/>
          <w:szCs w:val="16"/>
        </w:rPr>
      </w:pPr>
    </w:p>
    <w:p>
      <w:pPr>
        <w:ind w:right="-799"/>
        <w:rPr>
          <w:rFonts w:ascii="Arial" w:hAnsi="Arial" w:cs="Arial"/>
          <w:bCs/>
          <w:sz w:val="16"/>
          <w:szCs w:val="16"/>
        </w:rPr>
      </w:pPr>
    </w:p>
    <w:p>
      <w:pPr>
        <w:rPr>
          <w:rFonts w:ascii="Arial" w:hAnsi="Arial" w:cs="Arial"/>
          <w:sz w:val="16"/>
          <w:szCs w:val="16"/>
        </w:rPr>
      </w:pPr>
    </w:p>
    <w:sectPr>
      <w:footerReference w:type="default" r:id="rId7"/>
      <w:pgSz w:w="12240" w:h="20160" w:code="5"/>
      <w:pgMar w:top="2722" w:right="1418" w:bottom="2552"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Piedepgina"/>
    </w:pPr>
  </w:p>
  <w:p>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71E20"/>
    <w:multiLevelType w:val="hybridMultilevel"/>
    <w:tmpl w:val="6C268BA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9784270"/>
    <w:multiLevelType w:val="hybridMultilevel"/>
    <w:tmpl w:val="41746738"/>
    <w:lvl w:ilvl="0" w:tplc="45EC054C">
      <w:start w:val="4"/>
      <w:numFmt w:val="bullet"/>
      <w:lvlText w:val="-"/>
      <w:lvlJc w:val="left"/>
      <w:pPr>
        <w:ind w:left="720" w:hanging="360"/>
      </w:pPr>
      <w:rPr>
        <w:rFonts w:ascii="Arial" w:eastAsia="Times New Roman" w:hAnsi="Arial" w:cs="Arial" w:hint="default"/>
        <w:b/>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656F7-8772-40B4-8581-F6084CF3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pPr>
      <w:ind w:left="720"/>
      <w:contextualSpacing/>
    </w:p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pPr>
      <w:suppressAutoHyphens/>
      <w:ind w:left="705"/>
    </w:pPr>
    <w:rPr>
      <w:rFonts w:ascii="Arial" w:hAnsi="Arial"/>
      <w:szCs w:val="20"/>
      <w:lang w:eastAsia="ar-SA"/>
    </w:rPr>
  </w:style>
  <w:style w:type="character" w:customStyle="1" w:styleId="SangradetextonormalCar">
    <w:name w:val="Sangría de texto normal Car"/>
    <w:basedOn w:val="Fuentedeprrafopredeter"/>
    <w:link w:val="Sangradetextonormal"/>
    <w:semiHidden/>
    <w:rPr>
      <w:rFonts w:ascii="Arial" w:eastAsia="Times New Roman" w:hAnsi="Arial" w:cs="Times New Roman"/>
      <w:sz w:val="24"/>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Pages>
  <Words>376</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Marisol Martinez Quiroz</cp:lastModifiedBy>
  <cp:revision>87</cp:revision>
  <cp:lastPrinted>2021-12-31T20:00:00Z</cp:lastPrinted>
  <dcterms:created xsi:type="dcterms:W3CDTF">2018-09-18T19:20:00Z</dcterms:created>
  <dcterms:modified xsi:type="dcterms:W3CDTF">2022-01-03T15:18:00Z</dcterms:modified>
</cp:coreProperties>
</file>