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984077" w:rsidP="00BF7E14">
            <w:pPr>
              <w:spacing w:line="360" w:lineRule="auto"/>
              <w:jc w:val="center"/>
              <w:rPr>
                <w:b/>
              </w:rPr>
            </w:pPr>
            <w:r>
              <w:rPr>
                <w:b/>
              </w:rPr>
              <w:t>Dirección Administrativa de la Comisaria de la Policía Preventiva Municipal de San Pedro Tlaquepaque</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868B9" w:rsidRDefault="00984077" w:rsidP="00984077">
            <w:pPr>
              <w:spacing w:line="360" w:lineRule="auto"/>
              <w:jc w:val="center"/>
              <w:rPr>
                <w:b/>
                <w:sz w:val="16"/>
              </w:rPr>
            </w:pPr>
            <w:r w:rsidRPr="00A868B9">
              <w:rPr>
                <w:b/>
                <w:sz w:val="16"/>
              </w:rPr>
              <w:t>Gestión y velar por el debido cumplimiento de las 4 etapas a los lineamientos que emite El Secretariado Ejecutivo Nacional para la Apropiada Gestión de los Recursos Humanos y materiales de esta comisaria (Gestión de adquisición y entrega de Uniformes)</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C56EEC">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C56EEC">
                  <w:rPr>
                    <w:b/>
                  </w:rPr>
                  <w:t>septiembre de 2022</w:t>
                </w:r>
              </w:sdtContent>
            </w:sdt>
          </w:p>
        </w:tc>
      </w:tr>
      <w:tr w:rsidR="000D70A1" w:rsidTr="00184C78">
        <w:trPr>
          <w:trHeight w:val="510"/>
        </w:trPr>
        <w:tc>
          <w:tcPr>
            <w:tcW w:w="1413" w:type="dxa"/>
            <w:gridSpan w:val="2"/>
          </w:tcPr>
          <w:p w:rsidR="000D70A1" w:rsidRPr="00A35AE4" w:rsidRDefault="00B079F2"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r w:rsidR="00CD5F1F">
              <w:rPr>
                <w:b/>
              </w:rPr>
              <w:t>5’927,414.4</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780E88" w:rsidP="00BF7E14">
            <w:pPr>
              <w:rPr>
                <w:b/>
              </w:rPr>
            </w:pPr>
            <w:r>
              <w:rPr>
                <w:b/>
              </w:rPr>
              <w:t>Debido al servicio que durante el año realizan los elementos operativos durante sus jornadas laborales los uniformes sufren desgastes los cuales degradan los mismos, motivo por el cual son necesarios para dignificar el servicio policial</w:t>
            </w:r>
          </w:p>
          <w:p w:rsidR="00184C78" w:rsidRPr="00A35AE4" w:rsidRDefault="00184C78" w:rsidP="00BF7E14">
            <w:pPr>
              <w:rPr>
                <w:b/>
              </w:rPr>
            </w:pP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984077" w:rsidP="00A56F46">
                <w:pPr>
                  <w:rPr>
                    <w:b/>
                  </w:rPr>
                </w:pPr>
                <w:r>
                  <w:rPr>
                    <w:b/>
                  </w:rPr>
                  <w:t>5</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A35AE4" w:rsidRDefault="00780E88" w:rsidP="00BF7E14">
            <w:pPr>
              <w:rPr>
                <w:b/>
              </w:rPr>
            </w:pPr>
            <w:r>
              <w:rPr>
                <w:b/>
              </w:rPr>
              <w:t>Dotar a los elementos con dos juegos de uniformes durante el año para coadyuvar a la mejor imagen y posicionamiento policial.</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CD5F1F">
                <w:pPr>
                  <w:rPr>
                    <w:b/>
                  </w:rPr>
                </w:pPr>
                <w:r>
                  <w:rPr>
                    <w:b/>
                  </w:rPr>
                  <w:t>5.6</w:t>
                </w:r>
              </w:p>
            </w:sdtContent>
          </w:sdt>
          <w:p w:rsidR="00A56F46" w:rsidRDefault="00A56F46">
            <w:pPr>
              <w:rPr>
                <w:b/>
              </w:rPr>
            </w:pPr>
          </w:p>
          <w:p w:rsidR="00A56F46" w:rsidRPr="00414F64" w:rsidRDefault="00B079F2" w:rsidP="00A56F46">
            <w:pPr>
              <w:rPr>
                <w:b/>
              </w:rPr>
            </w:pPr>
            <w:r>
              <w:rPr>
                <w:b/>
              </w:rPr>
              <w:t>EQUIPAMIENTO</w:t>
            </w: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A868B9">
            <w:pPr>
              <w:rPr>
                <w:b/>
              </w:rPr>
            </w:pPr>
            <w:r>
              <w:rPr>
                <w:b/>
              </w:rPr>
              <w:t>N.A</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A868B9"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A868B9">
            <w:r>
              <w:t>N.A</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A868B9">
            <w:r>
              <w:t>Se realizaran 4 etapas 1.- Gestión de presupuesto para adquisición de uniformes, 2.- Licitación y adquisición de Uniformes 3.- Recepción de uniformes proveedor- Comisaria 4.- Entrega de uniformes Comisaria elemento operativo</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AE3B55" w:rsidP="009367AB">
            <w:pPr>
              <w:jc w:val="center"/>
              <w:rPr>
                <w:b/>
              </w:rPr>
            </w:pPr>
            <w:r>
              <w:rPr>
                <w:b/>
              </w:rPr>
              <w:t>Porcentaje en la gestión y adquisición y entrega de uniformes</w:t>
            </w:r>
          </w:p>
        </w:tc>
        <w:tc>
          <w:tcPr>
            <w:tcW w:w="3091" w:type="dxa"/>
          </w:tcPr>
          <w:p w:rsidR="000026DB" w:rsidRPr="009367AB" w:rsidRDefault="00AE3B55" w:rsidP="00AE3B55">
            <w:pPr>
              <w:jc w:val="center"/>
              <w:rPr>
                <w:b/>
              </w:rPr>
            </w:pPr>
            <w:r>
              <w:rPr>
                <w:b/>
              </w:rPr>
              <w:t xml:space="preserve">Recepción y entrega de uniformes </w:t>
            </w:r>
            <w:bookmarkStart w:id="0" w:name="_GoBack"/>
            <w:bookmarkEnd w:id="0"/>
          </w:p>
        </w:tc>
        <w:tc>
          <w:tcPr>
            <w:tcW w:w="2957" w:type="dxa"/>
            <w:gridSpan w:val="2"/>
          </w:tcPr>
          <w:p w:rsidR="000026DB" w:rsidRDefault="00CD5F1F" w:rsidP="009367AB">
            <w:pPr>
              <w:jc w:val="center"/>
              <w:rPr>
                <w:b/>
              </w:rPr>
            </w:pPr>
            <w:r>
              <w:rPr>
                <w:b/>
              </w:rPr>
              <w:t>1800 camisolas</w:t>
            </w:r>
          </w:p>
          <w:p w:rsidR="00CD5F1F" w:rsidRDefault="00CD5F1F" w:rsidP="009367AB">
            <w:pPr>
              <w:jc w:val="center"/>
              <w:rPr>
                <w:b/>
              </w:rPr>
            </w:pPr>
            <w:r>
              <w:rPr>
                <w:b/>
              </w:rPr>
              <w:t>1800 pantalones</w:t>
            </w:r>
          </w:p>
          <w:p w:rsidR="00CD5F1F" w:rsidRDefault="00CD5F1F" w:rsidP="009367AB">
            <w:pPr>
              <w:jc w:val="center"/>
              <w:rPr>
                <w:b/>
              </w:rPr>
            </w:pPr>
            <w:r>
              <w:rPr>
                <w:b/>
              </w:rPr>
              <w:t>900 pares de botas</w:t>
            </w:r>
          </w:p>
          <w:p w:rsidR="00CD5F1F" w:rsidRPr="009367AB" w:rsidRDefault="00CD5F1F" w:rsidP="009367AB">
            <w:pPr>
              <w:jc w:val="center"/>
              <w:rPr>
                <w:b/>
              </w:rPr>
            </w:pPr>
            <w:r>
              <w:rPr>
                <w:b/>
              </w:rPr>
              <w:t>900 tocados</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A868B9" w:rsidP="000026DB">
            <w:pPr>
              <w:tabs>
                <w:tab w:val="left" w:pos="900"/>
              </w:tabs>
            </w:pPr>
            <w:r w:rsidRPr="00A868B9">
              <w:t xml:space="preserve">Gestión de presupuesto para adquisición de uniformes </w:t>
            </w:r>
          </w:p>
        </w:tc>
        <w:tc>
          <w:tcPr>
            <w:tcW w:w="272"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A868B9" w:rsidP="000026DB">
            <w:pPr>
              <w:tabs>
                <w:tab w:val="left" w:pos="900"/>
              </w:tabs>
            </w:pPr>
            <w:r>
              <w:t>Licitación y adquisición de Uniformes</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A868B9" w:rsidP="000026DB">
            <w:pPr>
              <w:tabs>
                <w:tab w:val="left" w:pos="900"/>
              </w:tabs>
            </w:pPr>
            <w:r>
              <w:t xml:space="preserve">Recepción de uniformes proveedor- Comisaria </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A868B9" w:rsidP="00A868B9">
            <w:pPr>
              <w:tabs>
                <w:tab w:val="left" w:pos="1200"/>
              </w:tabs>
            </w:pPr>
            <w:r>
              <w:t>Entrega de uniformes Comisaria elemento operativo</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A868B9"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84C78"/>
    <w:rsid w:val="00186B4C"/>
    <w:rsid w:val="00391484"/>
    <w:rsid w:val="00393383"/>
    <w:rsid w:val="00414F64"/>
    <w:rsid w:val="00443A6E"/>
    <w:rsid w:val="0049161A"/>
    <w:rsid w:val="00741DE0"/>
    <w:rsid w:val="00780E88"/>
    <w:rsid w:val="00823C60"/>
    <w:rsid w:val="00861543"/>
    <w:rsid w:val="009367AB"/>
    <w:rsid w:val="00984077"/>
    <w:rsid w:val="00A35AE4"/>
    <w:rsid w:val="00A56F46"/>
    <w:rsid w:val="00A868B9"/>
    <w:rsid w:val="00AE3B55"/>
    <w:rsid w:val="00B079F2"/>
    <w:rsid w:val="00BF7E14"/>
    <w:rsid w:val="00C3121B"/>
    <w:rsid w:val="00C52AF0"/>
    <w:rsid w:val="00C56EEC"/>
    <w:rsid w:val="00CD5F1F"/>
    <w:rsid w:val="00CD712D"/>
    <w:rsid w:val="00D81DB9"/>
    <w:rsid w:val="00E20015"/>
    <w:rsid w:val="00E307F7"/>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CBEC4CE"/>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Textodeglobo">
    <w:name w:val="Balloon Text"/>
    <w:basedOn w:val="Normal"/>
    <w:link w:val="TextodegloboCar"/>
    <w:uiPriority w:val="99"/>
    <w:semiHidden/>
    <w:unhideWhenUsed/>
    <w:rsid w:val="00CD71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54</TotalTime>
  <Pages>3</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8</cp:revision>
  <cp:lastPrinted>2021-10-08T18:45:00Z</cp:lastPrinted>
  <dcterms:created xsi:type="dcterms:W3CDTF">2021-10-11T14:10:00Z</dcterms:created>
  <dcterms:modified xsi:type="dcterms:W3CDTF">2021-11-30T19:49:00Z</dcterms:modified>
</cp:coreProperties>
</file>