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CB11" w14:textId="77777777" w:rsidR="0049161A" w:rsidRDefault="0049161A">
      <w:bookmarkStart w:id="0" w:name="_GoBack"/>
      <w:bookmarkEnd w:id="0"/>
    </w:p>
    <w:p w14:paraId="6DE923AA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194962DC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40A1E74" w14:textId="77777777" w:rsidR="00184C78" w:rsidRDefault="00184C78" w:rsidP="00BF7E14">
            <w:pPr>
              <w:jc w:val="center"/>
              <w:rPr>
                <w:b/>
              </w:rPr>
            </w:pPr>
          </w:p>
          <w:p w14:paraId="333F1EFC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17947108" w14:textId="04D0C183" w:rsidR="00BF7E14" w:rsidRPr="00A35AE4" w:rsidRDefault="0021329A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Vinculación Metropolitana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34C0FE53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6AE97564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7765391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F624A32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68C52373" w14:textId="24A319FE" w:rsidR="00BF7E14" w:rsidRPr="00A35AE4" w:rsidRDefault="00A35322" w:rsidP="00A35322">
            <w:pPr>
              <w:spacing w:line="276" w:lineRule="auto"/>
              <w:jc w:val="center"/>
              <w:rPr>
                <w:b/>
              </w:rPr>
            </w:pPr>
            <w:r>
              <w:t>Seguimiento, análisis e información de agenda municipal en el Sistema Integral de Desarrollo Metropolitano del Área Metropolitana de Guadalajara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6DEDD0F6" w14:textId="77777777" w:rsidR="00BF7E14" w:rsidRDefault="00BF7E14"/>
        </w:tc>
      </w:tr>
      <w:tr w:rsidR="00A35AE4" w14:paraId="066D8670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7170D896" w14:textId="77777777" w:rsidR="00A35AE4" w:rsidRDefault="00A35AE4" w:rsidP="00BF7E14">
            <w:pPr>
              <w:jc w:val="center"/>
              <w:rPr>
                <w:b/>
              </w:rPr>
            </w:pPr>
          </w:p>
          <w:p w14:paraId="1131D67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3FFCB93E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D5B539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3A2C06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5BC864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C7982CF" w14:textId="77777777" w:rsidR="000D70A1" w:rsidRDefault="000D70A1" w:rsidP="00BF7E14">
            <w:pPr>
              <w:jc w:val="center"/>
              <w:rPr>
                <w:b/>
              </w:rPr>
            </w:pPr>
          </w:p>
          <w:p w14:paraId="2C9BE73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7401DC4E" w14:textId="77777777" w:rsidR="00A35AE4" w:rsidRPr="00BF7E14" w:rsidRDefault="00A35AE4" w:rsidP="00A56F46"/>
        </w:tc>
      </w:tr>
      <w:tr w:rsidR="000D70A1" w14:paraId="76F3EC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32CB31F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3848517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96AAE7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CB4738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51C01F5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52800428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142C56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03FBD8DC" w14:textId="4F1EE30A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35322">
                  <w:rPr>
                    <w:b/>
                  </w:rPr>
                  <w:t>octubre de 2021</w:t>
                </w:r>
              </w:sdtContent>
            </w:sdt>
          </w:p>
          <w:p w14:paraId="6FBB13CF" w14:textId="6B84F921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35322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1519BF9A" w14:textId="77777777" w:rsidTr="00184C78">
        <w:trPr>
          <w:trHeight w:val="510"/>
        </w:trPr>
        <w:tc>
          <w:tcPr>
            <w:tcW w:w="1413" w:type="dxa"/>
            <w:gridSpan w:val="2"/>
          </w:tcPr>
          <w:p w14:paraId="06C99CDB" w14:textId="23954395" w:rsidR="000D70A1" w:rsidRPr="00A35AE4" w:rsidRDefault="00A3532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7F93323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4CFAF5DF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2B75057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D91FBC3" w14:textId="77777777" w:rsidR="000D70A1" w:rsidRDefault="000D70A1" w:rsidP="00BF7E14">
            <w:pPr>
              <w:rPr>
                <w:b/>
              </w:rPr>
            </w:pPr>
          </w:p>
          <w:p w14:paraId="44743FBB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3ABDC53F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1D44D356" w14:textId="77777777" w:rsidR="000D70A1" w:rsidRDefault="000D70A1" w:rsidP="00BF7E14">
            <w:pPr>
              <w:rPr>
                <w:b/>
              </w:rPr>
            </w:pPr>
          </w:p>
          <w:p w14:paraId="746C4EB9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A151028" w14:textId="77777777" w:rsidR="000D70A1" w:rsidRDefault="000D70A1"/>
        </w:tc>
      </w:tr>
      <w:tr w:rsidR="00A35AE4" w14:paraId="15095C0E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7D82E2C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2344633" w14:textId="0E69E517" w:rsidR="00184C78" w:rsidRPr="00A35AE4" w:rsidRDefault="00A35322" w:rsidP="00BF7E14">
            <w:pPr>
              <w:rPr>
                <w:b/>
              </w:rPr>
            </w:pPr>
            <w:r>
              <w:rPr>
                <w:rFonts w:cstheme="minorHAnsi"/>
                <w:shd w:val="clear" w:color="auto" w:fill="FFFFFF"/>
              </w:rPr>
              <w:t>Desvinculación de dependencias municipales al funcionamiento de las instancias de coordinación metropolitana.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5A7619D9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7FCA7577" w14:textId="4658B074" w:rsidR="00A56F46" w:rsidRPr="00414F64" w:rsidRDefault="00A35322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14:paraId="67A48EEC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231D4873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35712291" w14:textId="36E45057" w:rsidR="00414F64" w:rsidRPr="00A35AE4" w:rsidRDefault="00CC1B62" w:rsidP="00BF7E14">
            <w:pPr>
              <w:rPr>
                <w:b/>
              </w:rPr>
            </w:pPr>
            <w:r>
              <w:t>Monitorear e impulsar el desempeño de la administración pública municipal en la atención y aportación de San Pedro Tlaquepaque en los ámbitos competenciales, instrumentos de planeación y gestión del desarrollo y del funcionamiento de las instancias de coordinación metropolitana del área metropolitana de Guadalajara, cuya agenda integra, entre otras materias, movilidad, bosques y servicios ambientales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5047F6C2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3D24165" w14:textId="60600280" w:rsidR="00A56F46" w:rsidRDefault="00CC1B62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6.5</w:t>
                </w:r>
              </w:p>
            </w:sdtContent>
          </w:sdt>
          <w:p w14:paraId="6423C67C" w14:textId="77777777" w:rsidR="00A56F46" w:rsidRDefault="00A56F46">
            <w:pPr>
              <w:rPr>
                <w:b/>
              </w:rPr>
            </w:pPr>
          </w:p>
          <w:p w14:paraId="4B827A8F" w14:textId="77777777" w:rsidR="00A56F46" w:rsidRPr="00414F64" w:rsidRDefault="00A56F46" w:rsidP="00A56F46">
            <w:pPr>
              <w:rPr>
                <w:b/>
              </w:rPr>
            </w:pPr>
          </w:p>
        </w:tc>
      </w:tr>
      <w:tr w:rsidR="00391484" w14:paraId="4FCE9F25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2F0BDEC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756F7454" w14:textId="42304829" w:rsidR="00391484" w:rsidRPr="00414F64" w:rsidRDefault="00391484">
            <w:pPr>
              <w:rPr>
                <w:b/>
              </w:rPr>
            </w:pPr>
          </w:p>
        </w:tc>
      </w:tr>
      <w:tr w:rsidR="00391484" w14:paraId="258EA6A7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4BC262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111A774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D51C078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4517F54" w14:textId="77777777" w:rsidR="00391484" w:rsidRDefault="00391484"/>
        </w:tc>
      </w:tr>
      <w:tr w:rsidR="00391484" w14:paraId="5DDE563C" w14:textId="77777777" w:rsidTr="00BE39C0">
        <w:trPr>
          <w:trHeight w:val="510"/>
        </w:trPr>
        <w:tc>
          <w:tcPr>
            <w:tcW w:w="896" w:type="dxa"/>
          </w:tcPr>
          <w:p w14:paraId="6C9C0A77" w14:textId="42635964" w:rsidR="00391484" w:rsidRDefault="000B43F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394A611B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757C159B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3455E27B" w14:textId="77777777" w:rsidR="00391484" w:rsidRDefault="00391484"/>
        </w:tc>
      </w:tr>
    </w:tbl>
    <w:p w14:paraId="359F1590" w14:textId="77777777" w:rsidR="00184C78" w:rsidRDefault="00184C78"/>
    <w:p w14:paraId="330B0004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544"/>
        <w:gridCol w:w="2483"/>
        <w:gridCol w:w="21"/>
      </w:tblGrid>
      <w:tr w:rsidR="00E77791" w14:paraId="13074A6E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480C76F7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213CAF95" w14:textId="5C426A42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7BF2A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3028B668" w14:textId="6116ECAB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26020A03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24EA6E01" w14:textId="1A0A431D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746CB6A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14:paraId="508AD502" w14:textId="713BCC92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31F66F6F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14:paraId="791A93DA" w14:textId="4080E60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61DCB91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0BA70224" w14:textId="472A85B1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50175623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2109E0F1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6E71DD79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19BF1F60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54236F4E" w14:textId="305D985F" w:rsidR="00E77791" w:rsidRDefault="003A2253">
            <w:r>
              <w:t>Favorecer la v</w:t>
            </w:r>
            <w:r w:rsidR="00215106">
              <w:t xml:space="preserve">inculación </w:t>
            </w:r>
            <w:r>
              <w:t xml:space="preserve">entre programas, servicios, campañas o proyectos de la administración municipal y los aspectos esenciales para una ciudad amigable con las personas mayores, </w:t>
            </w:r>
            <w:r w:rsidR="00E9061E">
              <w:t xml:space="preserve">mediante el seguimiento del Plan Estratégico para una Ciudad Amigable con las Personas Mayores </w:t>
            </w:r>
            <w:r w:rsidR="000B43FF">
              <w:t xml:space="preserve">PECAPM </w:t>
            </w:r>
            <w:r w:rsidR="00E9061E">
              <w:t>en el marco de la certificación otorgada por la Organización Mundial de la Salud, en coordinación con el Instituto de Planeación y Gestión del Desarrollo Metropolitano del área metropolitana de Guadalajara, la Secretaría de Asistencia Social del Gobierno del Estado de Jalisco.</w:t>
            </w:r>
          </w:p>
        </w:tc>
      </w:tr>
      <w:tr w:rsidR="00861543" w14:paraId="06772CB2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214A5881" w14:textId="77777777" w:rsidR="00861543" w:rsidRDefault="00861543" w:rsidP="009367AB">
            <w:pPr>
              <w:rPr>
                <w:b/>
              </w:rPr>
            </w:pPr>
          </w:p>
          <w:p w14:paraId="3C3215EB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0E2CEC9A" w14:textId="77777777" w:rsidR="00215106" w:rsidRDefault="00215106" w:rsidP="00215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</w:pPr>
            <w:r>
              <w:t>Análisis de la normatividad e integración de listado de materias de la Agenda Metropolitana, vinculación a las dependencias municipales competentes.</w:t>
            </w:r>
          </w:p>
          <w:p w14:paraId="6C7D8DD5" w14:textId="77777777" w:rsidR="00215106" w:rsidRDefault="00215106" w:rsidP="00215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</w:pPr>
            <w:r>
              <w:t>Coordinación con responsables municipales para el seguimiento de su materia de actuación en atención de requerimientos, participación e iniciativas municipales en los objetivos de las instancias de coordinación metropolitana.</w:t>
            </w:r>
          </w:p>
          <w:p w14:paraId="0272A6C6" w14:textId="77777777" w:rsidR="00215106" w:rsidRDefault="00215106" w:rsidP="00215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</w:pPr>
            <w:r>
              <w:t>Integración de avances y reportes por materia metropolitana en mesas de gestión.</w:t>
            </w:r>
          </w:p>
          <w:p w14:paraId="687FB608" w14:textId="04350E4F" w:rsidR="00861543" w:rsidRDefault="00215106" w:rsidP="0021510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7" w:hanging="283"/>
            </w:pPr>
            <w:r>
              <w:t>Informe con acciones adicionales de proyectos específicos de las mesas de gestión y agencias metropolitanas.</w:t>
            </w:r>
          </w:p>
        </w:tc>
      </w:tr>
      <w:tr w:rsidR="000026DB" w14:paraId="44479765" w14:textId="77777777" w:rsidTr="000B43F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24FA6FB3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69BE0FF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544" w:type="dxa"/>
            <w:shd w:val="clear" w:color="auto" w:fill="F4B083" w:themeFill="accent2" w:themeFillTint="99"/>
          </w:tcPr>
          <w:p w14:paraId="15136E9B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504" w:type="dxa"/>
            <w:gridSpan w:val="2"/>
            <w:shd w:val="clear" w:color="auto" w:fill="D5DCE4" w:themeFill="text2" w:themeFillTint="33"/>
          </w:tcPr>
          <w:p w14:paraId="2586ED3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06B62A58" w14:textId="77777777" w:rsidTr="000B43FF">
        <w:trPr>
          <w:trHeight w:val="661"/>
        </w:trPr>
        <w:tc>
          <w:tcPr>
            <w:tcW w:w="3086" w:type="dxa"/>
            <w:shd w:val="clear" w:color="auto" w:fill="F4B083" w:themeFill="accent2" w:themeFillTint="99"/>
          </w:tcPr>
          <w:p w14:paraId="0987E8EB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DFF3013" w14:textId="32051BF8" w:rsidR="000026DB" w:rsidRPr="00877B23" w:rsidRDefault="0051464B" w:rsidP="0051464B">
            <w:pPr>
              <w:jc w:val="center"/>
              <w:rPr>
                <w:bCs/>
              </w:rPr>
            </w:pPr>
            <w:r>
              <w:rPr>
                <w:bCs/>
              </w:rPr>
              <w:t>Reportes integrados en Base Informativa Mensual</w:t>
            </w:r>
          </w:p>
        </w:tc>
        <w:tc>
          <w:tcPr>
            <w:tcW w:w="3544" w:type="dxa"/>
          </w:tcPr>
          <w:p w14:paraId="01E4254B" w14:textId="68166923" w:rsidR="000026DB" w:rsidRPr="00877B23" w:rsidRDefault="00877B23" w:rsidP="009367AB">
            <w:pPr>
              <w:jc w:val="center"/>
              <w:rPr>
                <w:bCs/>
              </w:rPr>
            </w:pPr>
            <w:r w:rsidRPr="00877B23">
              <w:rPr>
                <w:bCs/>
              </w:rPr>
              <w:t>Reportes mensuales de las 6 áreas participantes. Es decir 1 reporte por mes en total por trimestre son 18.</w:t>
            </w:r>
          </w:p>
        </w:tc>
        <w:tc>
          <w:tcPr>
            <w:tcW w:w="2504" w:type="dxa"/>
            <w:gridSpan w:val="2"/>
          </w:tcPr>
          <w:p w14:paraId="2877604D" w14:textId="6B19B11E" w:rsidR="000026DB" w:rsidRPr="0051464B" w:rsidRDefault="0051464B" w:rsidP="009367AB">
            <w:pPr>
              <w:jc w:val="center"/>
              <w:rPr>
                <w:bCs/>
              </w:rPr>
            </w:pPr>
            <w:r w:rsidRPr="0051464B">
              <w:rPr>
                <w:bCs/>
              </w:rPr>
              <w:t>72</w:t>
            </w:r>
          </w:p>
        </w:tc>
      </w:tr>
      <w:tr w:rsidR="000026DB" w14:paraId="2056E6A9" w14:textId="77777777" w:rsidTr="000B43FF">
        <w:trPr>
          <w:trHeight w:val="699"/>
        </w:trPr>
        <w:tc>
          <w:tcPr>
            <w:tcW w:w="3086" w:type="dxa"/>
            <w:shd w:val="clear" w:color="auto" w:fill="F4B083" w:themeFill="accent2" w:themeFillTint="99"/>
          </w:tcPr>
          <w:p w14:paraId="15831736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611E30A8" w14:textId="39664590" w:rsidR="000026DB" w:rsidRPr="000B43FF" w:rsidRDefault="000B43FF" w:rsidP="009367AB">
            <w:pPr>
              <w:jc w:val="center"/>
              <w:rPr>
                <w:bCs/>
              </w:rPr>
            </w:pPr>
            <w:r w:rsidRPr="000B43FF">
              <w:rPr>
                <w:bCs/>
              </w:rPr>
              <w:t xml:space="preserve">Proyecto </w:t>
            </w:r>
            <w:r w:rsidR="00B53333">
              <w:rPr>
                <w:bCs/>
              </w:rPr>
              <w:t>revisado</w:t>
            </w:r>
            <w:r w:rsidRPr="000B43FF">
              <w:rPr>
                <w:bCs/>
              </w:rPr>
              <w:t xml:space="preserve"> </w:t>
            </w:r>
            <w:r w:rsidR="00B53333">
              <w:rPr>
                <w:bCs/>
              </w:rPr>
              <w:t>en Comité d</w:t>
            </w:r>
            <w:r w:rsidRPr="000B43FF">
              <w:rPr>
                <w:bCs/>
              </w:rPr>
              <w:t xml:space="preserve">el </w:t>
            </w:r>
            <w:r>
              <w:rPr>
                <w:bCs/>
              </w:rPr>
              <w:t>PECAPM</w:t>
            </w:r>
            <w:r w:rsidR="00B53333">
              <w:rPr>
                <w:bCs/>
              </w:rPr>
              <w:t xml:space="preserve"> 19.21 e integrado en el PECAPM 22.24</w:t>
            </w:r>
          </w:p>
        </w:tc>
        <w:tc>
          <w:tcPr>
            <w:tcW w:w="3544" w:type="dxa"/>
          </w:tcPr>
          <w:p w14:paraId="55AD2DDF" w14:textId="77777777" w:rsidR="000026DB" w:rsidRDefault="000B43FF" w:rsidP="009367AB">
            <w:pPr>
              <w:jc w:val="center"/>
              <w:rPr>
                <w:bCs/>
              </w:rPr>
            </w:pPr>
            <w:r w:rsidRPr="00B53333">
              <w:rPr>
                <w:bCs/>
              </w:rPr>
              <w:t xml:space="preserve">Número de proyectos estratégicos </w:t>
            </w:r>
            <w:r w:rsidR="00B53333" w:rsidRPr="00B53333">
              <w:rPr>
                <w:bCs/>
              </w:rPr>
              <w:t>revisados e integrados</w:t>
            </w:r>
          </w:p>
          <w:p w14:paraId="5E3D8627" w14:textId="261C3642" w:rsidR="00B53333" w:rsidRPr="00B53333" w:rsidRDefault="00B53333" w:rsidP="009367AB">
            <w:pPr>
              <w:jc w:val="center"/>
              <w:rPr>
                <w:bCs/>
              </w:rPr>
            </w:pPr>
            <w:r>
              <w:rPr>
                <w:bCs/>
              </w:rPr>
              <w:t>Línea Base 9</w:t>
            </w:r>
          </w:p>
        </w:tc>
        <w:tc>
          <w:tcPr>
            <w:tcW w:w="2504" w:type="dxa"/>
            <w:gridSpan w:val="2"/>
          </w:tcPr>
          <w:p w14:paraId="7950804C" w14:textId="235A3AC6" w:rsidR="000026DB" w:rsidRPr="00B53333" w:rsidRDefault="00B53333" w:rsidP="009367A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</w:tbl>
    <w:p w14:paraId="40DBAF65" w14:textId="77777777" w:rsidR="00184C78" w:rsidRDefault="00184C78" w:rsidP="00E20015"/>
    <w:p w14:paraId="46E492E7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15F31056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9E480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1943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0A486262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76C1B79" w14:textId="77777777" w:rsidTr="00877565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28C678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6111537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70BC51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03802DD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43D147F2" w14:textId="77777777" w:rsidTr="00877565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3966E6E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3BB4B549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E9B80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E8C0D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6DF36E9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2EE785C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304102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4DECF22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161376C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03C167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2DB6CD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58F5A42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62A7360C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00D37155" w14:textId="77777777" w:rsidTr="00877565">
        <w:trPr>
          <w:trHeight w:val="1342"/>
        </w:trPr>
        <w:tc>
          <w:tcPr>
            <w:tcW w:w="1514" w:type="pct"/>
            <w:vAlign w:val="center"/>
          </w:tcPr>
          <w:p w14:paraId="7F4A6E72" w14:textId="723F46F9" w:rsidR="000026DB" w:rsidRPr="000026DB" w:rsidRDefault="0057315B" w:rsidP="00877565">
            <w:pPr>
              <w:tabs>
                <w:tab w:val="left" w:pos="900"/>
              </w:tabs>
            </w:pPr>
            <w:r>
              <w:t>Análisis de la normatividad e integración de listado de materias de la Agenda Metropolitana, vinculación a las dependencias municipales competentes.</w:t>
            </w:r>
          </w:p>
        </w:tc>
        <w:tc>
          <w:tcPr>
            <w:tcW w:w="293" w:type="pct"/>
            <w:vAlign w:val="center"/>
          </w:tcPr>
          <w:p w14:paraId="657C12BC" w14:textId="27ECDA1F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  <w:vAlign w:val="center"/>
          </w:tcPr>
          <w:p w14:paraId="63E791EF" w14:textId="447897ED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45D65D48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BC57CBB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14:paraId="724EE926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14:paraId="58534120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vAlign w:val="center"/>
          </w:tcPr>
          <w:p w14:paraId="0CF65F3D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14:paraId="62B06F3D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14:paraId="25A86D53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vAlign w:val="center"/>
          </w:tcPr>
          <w:p w14:paraId="4976CDC9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14:paraId="6DC1808B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14:paraId="336D3D3F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18200D8" w14:textId="77777777" w:rsidTr="00877565">
        <w:trPr>
          <w:trHeight w:val="1983"/>
        </w:trPr>
        <w:tc>
          <w:tcPr>
            <w:tcW w:w="1514" w:type="pct"/>
            <w:vAlign w:val="center"/>
          </w:tcPr>
          <w:p w14:paraId="49437F6A" w14:textId="29EE4D6D" w:rsidR="000026DB" w:rsidRPr="000026DB" w:rsidRDefault="0057315B" w:rsidP="00877565">
            <w:pPr>
              <w:tabs>
                <w:tab w:val="left" w:pos="900"/>
              </w:tabs>
            </w:pPr>
            <w:r>
              <w:t>Coordinación con responsables municipales para el seguimiento de su materia de actuación en atención de requerimientos, participación e iniciativas municipales en los objetivos de las instancias de coordinación metropolitana.</w:t>
            </w:r>
          </w:p>
        </w:tc>
        <w:tc>
          <w:tcPr>
            <w:tcW w:w="293" w:type="pct"/>
            <w:vAlign w:val="center"/>
          </w:tcPr>
          <w:p w14:paraId="3D7BD335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14:paraId="52627FF4" w14:textId="61692F92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27D39C78" w14:textId="0343AEF2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7C265F7D" w14:textId="68EADB60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672A2B94" w14:textId="40CEF8B0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57D6BFA1" w14:textId="0D8A7E9E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64826EC9" w14:textId="4F14E580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7AE0F30D" w14:textId="62F794D0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22D9385B" w14:textId="412E93A0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0253ADA4" w14:textId="32E2395B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5F3910FE" w14:textId="2BBF1A26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2B4DC4C2" w14:textId="5D5ADF39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2236757A" w14:textId="77777777" w:rsidTr="00877565">
        <w:trPr>
          <w:trHeight w:val="976"/>
        </w:trPr>
        <w:tc>
          <w:tcPr>
            <w:tcW w:w="1514" w:type="pct"/>
            <w:vAlign w:val="center"/>
          </w:tcPr>
          <w:p w14:paraId="3CC4FF65" w14:textId="69C6CA97" w:rsidR="000026DB" w:rsidRPr="000026DB" w:rsidRDefault="0057315B" w:rsidP="00877565">
            <w:pPr>
              <w:tabs>
                <w:tab w:val="left" w:pos="900"/>
              </w:tabs>
            </w:pPr>
            <w:r>
              <w:t>Integración de avances y reportes por materia metropolitana en mesas de gestión.</w:t>
            </w:r>
          </w:p>
        </w:tc>
        <w:tc>
          <w:tcPr>
            <w:tcW w:w="293" w:type="pct"/>
            <w:vAlign w:val="center"/>
          </w:tcPr>
          <w:p w14:paraId="6C869005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14:paraId="014FF0DA" w14:textId="6FB54C98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72D7975C" w14:textId="19484F0B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53D69F28" w14:textId="060D1B29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  <w:vAlign w:val="center"/>
          </w:tcPr>
          <w:p w14:paraId="6BA494C6" w14:textId="3FD7B648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  <w:vAlign w:val="center"/>
          </w:tcPr>
          <w:p w14:paraId="23EC6891" w14:textId="5178BF72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3F74473C" w14:textId="205569B5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6ADDAA5A" w14:textId="07C510CF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  <w:vAlign w:val="center"/>
          </w:tcPr>
          <w:p w14:paraId="54DD2B91" w14:textId="2E2296B0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43DD30AB" w14:textId="7FFBAE55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  <w:vAlign w:val="center"/>
          </w:tcPr>
          <w:p w14:paraId="17A0E58B" w14:textId="755BEF42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  <w:vAlign w:val="center"/>
          </w:tcPr>
          <w:p w14:paraId="1292BBAC" w14:textId="62F6A4E5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14:paraId="3E48F64D" w14:textId="77777777" w:rsidTr="00877565">
        <w:trPr>
          <w:trHeight w:val="1119"/>
        </w:trPr>
        <w:tc>
          <w:tcPr>
            <w:tcW w:w="1514" w:type="pct"/>
            <w:vAlign w:val="center"/>
          </w:tcPr>
          <w:p w14:paraId="6B83A7C3" w14:textId="274450B7" w:rsidR="000026DB" w:rsidRPr="000026DB" w:rsidRDefault="00CD2B0A" w:rsidP="00877565">
            <w:pPr>
              <w:tabs>
                <w:tab w:val="left" w:pos="900"/>
              </w:tabs>
            </w:pPr>
            <w:r>
              <w:t>Informe con acciones adicionales de proyectos específicos de las mesas de gestión y agencias metropolitanas.</w:t>
            </w:r>
          </w:p>
        </w:tc>
        <w:tc>
          <w:tcPr>
            <w:tcW w:w="293" w:type="pct"/>
            <w:vAlign w:val="center"/>
          </w:tcPr>
          <w:p w14:paraId="34C7CA45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14:paraId="6FA7783A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vAlign w:val="center"/>
          </w:tcPr>
          <w:p w14:paraId="06BC4DFF" w14:textId="2B20D104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0108EC1C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vAlign w:val="center"/>
          </w:tcPr>
          <w:p w14:paraId="4E5691B0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vAlign w:val="center"/>
          </w:tcPr>
          <w:p w14:paraId="6A1FEA86" w14:textId="24FF488B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  <w:vAlign w:val="center"/>
          </w:tcPr>
          <w:p w14:paraId="6574F6F6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14:paraId="533324DE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vAlign w:val="center"/>
          </w:tcPr>
          <w:p w14:paraId="6C1A28E5" w14:textId="708EB7E9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  <w:vAlign w:val="center"/>
          </w:tcPr>
          <w:p w14:paraId="429FC7A3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14:paraId="06BA882B" w14:textId="77777777" w:rsidR="000026DB" w:rsidRPr="000026DB" w:rsidRDefault="000026DB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14:paraId="3D0685D4" w14:textId="2E32676C" w:rsidR="000026DB" w:rsidRPr="000026DB" w:rsidRDefault="00877565" w:rsidP="00877565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877565" w:rsidRPr="000026DB" w14:paraId="2B75F741" w14:textId="77777777" w:rsidTr="00877565">
        <w:trPr>
          <w:trHeight w:val="20"/>
        </w:trPr>
        <w:tc>
          <w:tcPr>
            <w:tcW w:w="1514" w:type="pct"/>
          </w:tcPr>
          <w:p w14:paraId="5D3A216B" w14:textId="77777777" w:rsidR="00877565" w:rsidRPr="000026DB" w:rsidRDefault="00877565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14:paraId="1A20F451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14:paraId="7D499739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0B3B50B5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14:paraId="7D93F1EA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FB486C2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BA297EB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14:paraId="67AAEB3C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230F46F9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14:paraId="1C2280B2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14:paraId="72AFF604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14:paraId="637DF0FC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14:paraId="7192E55C" w14:textId="77777777" w:rsidR="00877565" w:rsidRPr="000026DB" w:rsidRDefault="008775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2F995BF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B58A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54C5155D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A0DB0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60770B60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0332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4E0A9975" wp14:editId="07ADFE8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34E74F89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542B"/>
    <w:multiLevelType w:val="hybridMultilevel"/>
    <w:tmpl w:val="625242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B43FF"/>
    <w:rsid w:val="000D70A1"/>
    <w:rsid w:val="00184C78"/>
    <w:rsid w:val="00186B4C"/>
    <w:rsid w:val="0021329A"/>
    <w:rsid w:val="00215106"/>
    <w:rsid w:val="00391484"/>
    <w:rsid w:val="00393383"/>
    <w:rsid w:val="003A2253"/>
    <w:rsid w:val="00414F64"/>
    <w:rsid w:val="0049161A"/>
    <w:rsid w:val="004F14F3"/>
    <w:rsid w:val="0051464B"/>
    <w:rsid w:val="0057315B"/>
    <w:rsid w:val="00725ABF"/>
    <w:rsid w:val="007301FE"/>
    <w:rsid w:val="00741DE0"/>
    <w:rsid w:val="00823C60"/>
    <w:rsid w:val="00861543"/>
    <w:rsid w:val="00877565"/>
    <w:rsid w:val="00877B23"/>
    <w:rsid w:val="009367AB"/>
    <w:rsid w:val="00A35322"/>
    <w:rsid w:val="00A35AE4"/>
    <w:rsid w:val="00A56F46"/>
    <w:rsid w:val="00B53333"/>
    <w:rsid w:val="00BF7E14"/>
    <w:rsid w:val="00C52AF0"/>
    <w:rsid w:val="00CC1B62"/>
    <w:rsid w:val="00CD2B0A"/>
    <w:rsid w:val="00E20015"/>
    <w:rsid w:val="00E77791"/>
    <w:rsid w:val="00E9061E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A176E7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5106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2021-11-10T20:19:00Z</dcterms:created>
  <dcterms:modified xsi:type="dcterms:W3CDTF">2021-11-10T20:19:00Z</dcterms:modified>
</cp:coreProperties>
</file>