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C80A01" w:rsidRDefault="00C80A01" w:rsidP="00BF7E14">
            <w:pPr>
              <w:spacing w:line="360" w:lineRule="auto"/>
              <w:jc w:val="center"/>
            </w:pPr>
            <w:r w:rsidRPr="00C80A01">
              <w:t>Dirección de Desarrollo Agropecuario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C80A01" w:rsidP="00BF7E14">
            <w:pPr>
              <w:spacing w:line="360" w:lineRule="auto"/>
              <w:jc w:val="center"/>
              <w:rPr>
                <w:b/>
              </w:rPr>
            </w:pPr>
            <w:r w:rsidRPr="00E32577">
              <w:t>Pozos de absorción tecnificados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C80A0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C80A01" w:rsidRPr="00934A50">
              <w:rPr>
                <w:b/>
              </w:rPr>
              <w:t>719,200</w:t>
            </w:r>
            <w:r w:rsidR="00C80A01">
              <w:rPr>
                <w:b/>
              </w:rPr>
              <w:t>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C80A01" w:rsidRDefault="00C80A01" w:rsidP="00C80A01">
            <w:pPr>
              <w:jc w:val="both"/>
            </w:pPr>
            <w:r w:rsidRPr="00D36222">
              <w:t>El acuífero de Toluquilla, comprende v</w:t>
            </w:r>
            <w:r>
              <w:t xml:space="preserve">arios municipios y entre ellos </w:t>
            </w:r>
            <w:r w:rsidRPr="00D36222">
              <w:t>San Pedro Tlaquepaque, mismo que se ubica en la Región Hidrológica Lerma</w:t>
            </w:r>
            <w:r>
              <w:t xml:space="preserve"> </w:t>
            </w:r>
            <w:r w:rsidRPr="00D36222">
              <w:t>-</w:t>
            </w:r>
            <w:r>
              <w:t xml:space="preserve"> </w:t>
            </w:r>
            <w:r w:rsidRPr="00D36222">
              <w:t>Santiago, Cuenca del Rio Santiago</w:t>
            </w:r>
            <w:r>
              <w:t xml:space="preserve"> </w:t>
            </w:r>
            <w:r w:rsidRPr="00D36222">
              <w:t>-</w:t>
            </w:r>
            <w:r>
              <w:t xml:space="preserve"> </w:t>
            </w:r>
            <w:r w:rsidRPr="00D36222">
              <w:t>Guadalajara, Sub</w:t>
            </w:r>
            <w:r>
              <w:t xml:space="preserve"> </w:t>
            </w:r>
            <w:r w:rsidRPr="00D36222">
              <w:t>cuenca Alto Santia</w:t>
            </w:r>
            <w:r>
              <w:t>go y Micro cuenca Arroyo Seco.</w:t>
            </w:r>
          </w:p>
          <w:p w:rsidR="00C80A01" w:rsidRDefault="00C80A01" w:rsidP="00C80A01">
            <w:pPr>
              <w:jc w:val="both"/>
              <w:rPr>
                <w:rFonts w:cstheme="minorHAnsi"/>
              </w:rPr>
            </w:pPr>
            <w:r>
              <w:t>En el acuífero</w:t>
            </w:r>
            <w:r w:rsidRPr="00D36222">
              <w:t xml:space="preserve"> </w:t>
            </w:r>
            <w:r w:rsidRPr="00404AB7">
              <w:rPr>
                <w:rFonts w:cstheme="minorHAnsi"/>
              </w:rPr>
              <w:t xml:space="preserve">administrativamente </w:t>
            </w:r>
            <w:r>
              <w:rPr>
                <w:rFonts w:cstheme="minorHAnsi"/>
              </w:rPr>
              <w:t xml:space="preserve">cuenta tres decretos de veda federal (Conservación de los mantos subterráneos de los Valles de Atemajac, Tesistán y Toluquilla; </w:t>
            </w:r>
            <w:r w:rsidRPr="00C80A01">
              <w:rPr>
                <w:rFonts w:cstheme="minorHAnsi"/>
              </w:rPr>
              <w:t>Primer Decreto 3 de Febrero de 1951; Segundo Decreto 7 de abril de 1971 y Tercer Decreto 21 de septiembre de 1984)</w:t>
            </w:r>
            <w:r>
              <w:rPr>
                <w:rFonts w:cstheme="minorHAnsi"/>
              </w:rPr>
              <w:t xml:space="preserve"> </w:t>
            </w:r>
            <w:r w:rsidRPr="00404AB7">
              <w:rPr>
                <w:rFonts w:cstheme="minorHAnsi"/>
              </w:rPr>
              <w:t xml:space="preserve">en la totalidad de su área de influencia prevalecen zonas de veda rígida para cualquier concesión nueva </w:t>
            </w:r>
            <w:r>
              <w:rPr>
                <w:rFonts w:cstheme="minorHAnsi"/>
              </w:rPr>
              <w:t>que quiera</w:t>
            </w:r>
            <w:r w:rsidRPr="00404AB7">
              <w:rPr>
                <w:rFonts w:cstheme="minorHAnsi"/>
              </w:rPr>
              <w:t xml:space="preserve"> utilizar las agu</w:t>
            </w:r>
            <w:r w:rsidRPr="007C3D33">
              <w:rPr>
                <w:rFonts w:cstheme="minorHAnsi"/>
              </w:rPr>
              <w:t>as superficiales y del subsuelo</w:t>
            </w:r>
            <w:r>
              <w:rPr>
                <w:rFonts w:cstheme="minorHAnsi"/>
              </w:rPr>
              <w:t>.</w:t>
            </w:r>
          </w:p>
          <w:p w:rsidR="00C80A01" w:rsidRDefault="00C80A01" w:rsidP="00C80A01">
            <w:pPr>
              <w:jc w:val="both"/>
            </w:pPr>
            <w:r>
              <w:rPr>
                <w:rFonts w:cstheme="minorHAnsi"/>
              </w:rPr>
              <w:t>El Acuífero est</w:t>
            </w:r>
            <w:r w:rsidRPr="00831B03">
              <w:rPr>
                <w:rFonts w:cstheme="minorHAnsi"/>
              </w:rPr>
              <w:t>a sobreexplotado, se le extrae más agua de la que llueve, por la utilización</w:t>
            </w:r>
            <w:r w:rsidRPr="00D36222">
              <w:t xml:space="preserve"> de los diversos usos del agua como Domestico, Urbano, Acuícola, Pecuario, Servicios Múlti</w:t>
            </w:r>
            <w:r>
              <w:t>ples e Industriales</w:t>
            </w:r>
            <w:r w:rsidRPr="00D36222">
              <w:t>, todas las extracciones del agua en el municipio, superan la capacidad de carga natural, ocasionando un incremento en la profundidad en promedio de 6 m anuales al manto subterráneo, dete</w:t>
            </w:r>
            <w:r>
              <w:t>riorándose la calidad del agua.</w:t>
            </w:r>
          </w:p>
          <w:p w:rsidR="00184C78" w:rsidRPr="00A35AE4" w:rsidRDefault="00C80A01" w:rsidP="00CC72DE">
            <w:pPr>
              <w:rPr>
                <w:b/>
              </w:rPr>
            </w:pPr>
            <w:r w:rsidRPr="00D36222">
              <w:t xml:space="preserve">Agregando </w:t>
            </w:r>
            <w:r w:rsidR="00CC72DE">
              <w:t xml:space="preserve">la irregularidad del temporal lluvioso debido al calentamiento global </w:t>
            </w:r>
            <w:r w:rsidRPr="00D36222">
              <w:t xml:space="preserve">ocurrencia, </w:t>
            </w:r>
            <w:r>
              <w:t>en este año las</w:t>
            </w:r>
            <w:r w:rsidRPr="00D36222">
              <w:t xml:space="preserve"> precipitaciones</w:t>
            </w:r>
            <w:r>
              <w:t xml:space="preserve"> han sido muy abundantes</w:t>
            </w:r>
            <w:r w:rsidRPr="00D36222">
              <w:t>,</w:t>
            </w:r>
            <w:r w:rsidR="00CC72DE">
              <w:t xml:space="preserve"> la </w:t>
            </w:r>
            <w:r w:rsidR="00FD3B87">
              <w:t>disminución</w:t>
            </w:r>
            <w:r w:rsidR="00CC72DE">
              <w:t xml:space="preserve"> de </w:t>
            </w:r>
            <w:r w:rsidR="00CC72DE">
              <w:lastRenderedPageBreak/>
              <w:t>las áreas</w:t>
            </w:r>
            <w:r>
              <w:t xml:space="preserve"> </w:t>
            </w:r>
            <w:r w:rsidRPr="00D36222">
              <w:t xml:space="preserve">permeables, </w:t>
            </w:r>
            <w:r w:rsidR="00CC72DE">
              <w:t xml:space="preserve">la falta de </w:t>
            </w:r>
            <w:r w:rsidRPr="00D36222">
              <w:t>pozos de absorción</w:t>
            </w:r>
            <w:r w:rsidR="00CC72DE">
              <w:t xml:space="preserve"> en los Fraccionamientos</w:t>
            </w:r>
            <w:r w:rsidRPr="00D36222">
              <w:t xml:space="preserve">, ni plantas de </w:t>
            </w:r>
            <w:r>
              <w:t>t</w:t>
            </w:r>
            <w:r w:rsidR="00CC72DE">
              <w:t>ratamiento de aguas residuales;</w:t>
            </w:r>
            <w:r w:rsidRPr="00D36222">
              <w:rPr>
                <w:rFonts w:cstheme="minorHAnsi"/>
              </w:rPr>
              <w:t xml:space="preserve"> la falta d</w:t>
            </w:r>
            <w:r w:rsidR="00CC72DE">
              <w:rPr>
                <w:rFonts w:cstheme="minorHAnsi"/>
              </w:rPr>
              <w:t xml:space="preserve">e cultura en el manejo del agua y la falta de tecnificación de los sistemas de riego en el sector </w:t>
            </w:r>
            <w:r w:rsidR="00833CFC">
              <w:rPr>
                <w:rFonts w:cstheme="minorHAnsi"/>
              </w:rPr>
              <w:t>agrícola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lastRenderedPageBreak/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151" w:type="dxa"/>
            <w:gridSpan w:val="5"/>
          </w:tcPr>
          <w:p w:rsidR="00414F64" w:rsidRPr="00CC72DE" w:rsidRDefault="00CC72DE" w:rsidP="00BF7E14">
            <w:r>
              <w:t>Construcción de 2</w:t>
            </w:r>
            <w:r w:rsidRPr="003C490B">
              <w:t xml:space="preserve">0 pozos de absorción </w:t>
            </w:r>
            <w:r>
              <w:t>perforados técni</w:t>
            </w:r>
            <w:r w:rsidRPr="003C490B">
              <w:t>ca</w:t>
            </w:r>
            <w:r>
              <w:t>mente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FD3B87" w:rsidRDefault="00833CFC">
            <w:r w:rsidRPr="00FD3B87">
              <w:t>El desarrollo de una sociedad depende al 100 % del agua, una sociedad sin agua tiende a segregarse y colapsarse. Depende de nuestro gobierno el concientizar a sus ciudadanos y ciudadanas de la importancia y del cuidado del agua. Un Tlaquepaque con agua podrá de</w:t>
            </w:r>
            <w:r w:rsidR="00FD3B87">
              <w:t>sarrollar un sociedad prospera e</w:t>
            </w:r>
            <w:r w:rsidRPr="00FD3B87">
              <w:t xml:space="preserve"> </w:t>
            </w:r>
            <w:r w:rsidR="00FD3B87" w:rsidRPr="00FD3B87">
              <w:t>integral.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C72DE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FD3B87">
            <w:r>
              <w:t>El cuidar y recuperar el Acuífero de Toluquilla, es muy importante, pues de esta manera se asegura abastecimiento para la producción de alimentos y de proveer del vital líquido a los habitantes del municipio en un presente y en un futuro.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C72DE" w:rsidRDefault="00CC72DE" w:rsidP="00CC72DE">
            <w:pPr>
              <w:jc w:val="both"/>
            </w:pPr>
            <w:r w:rsidRPr="00CF5CF6">
              <w:t>1.- Elaboración y Aprobación del Programa Operativo Anual para la construcción de pozos de absorción tecnificados.</w:t>
            </w:r>
          </w:p>
          <w:p w:rsidR="00CC72DE" w:rsidRDefault="00CC72DE" w:rsidP="00CC72DE">
            <w:r>
              <w:t>2</w:t>
            </w:r>
            <w:r w:rsidRPr="00CF5CF6">
              <w:t>.-</w:t>
            </w:r>
            <w:r>
              <w:t>Aprobación</w:t>
            </w:r>
            <w:r w:rsidRPr="00CF5CF6">
              <w:t xml:space="preserve"> del Programa </w:t>
            </w:r>
            <w:r>
              <w:t xml:space="preserve">por Cabildo Municipal </w:t>
            </w:r>
            <w:r w:rsidRPr="00CF5CF6">
              <w:t xml:space="preserve">y </w:t>
            </w:r>
            <w:r>
              <w:t>el Consejo M</w:t>
            </w:r>
            <w:r w:rsidRPr="00CF5CF6">
              <w:t>unicipal</w:t>
            </w:r>
            <w:r>
              <w:t xml:space="preserve"> de Desarrollo Rural Sustentable de San Pedro Tlaquepaque</w:t>
            </w:r>
          </w:p>
          <w:p w:rsidR="009862A0" w:rsidRPr="00CF5CF6" w:rsidRDefault="009862A0" w:rsidP="00CC72DE">
            <w:r>
              <w:t>3</w:t>
            </w:r>
            <w:r w:rsidRPr="00CF5CF6">
              <w:t>.- Solicitud de la suficiencia presupu</w:t>
            </w:r>
            <w:r>
              <w:t>estal a la Dirección de Proveeduría Municipal por $ 719,200.00</w:t>
            </w:r>
          </w:p>
          <w:p w:rsidR="00CC72DE" w:rsidRPr="00CF5CF6" w:rsidRDefault="009862A0" w:rsidP="00CC72DE">
            <w:pPr>
              <w:jc w:val="both"/>
            </w:pPr>
            <w:r>
              <w:t>4</w:t>
            </w:r>
            <w:r w:rsidR="00CC72DE" w:rsidRPr="00CF5CF6">
              <w:t xml:space="preserve">.- </w:t>
            </w:r>
            <w:r w:rsidR="007F1B50">
              <w:t>Plan de trabajo de la</w:t>
            </w:r>
            <w:r w:rsidR="00CC72DE" w:rsidRPr="00CF5CF6">
              <w:t xml:space="preserve"> empresa constructora </w:t>
            </w:r>
            <w:r w:rsidR="00CC72DE">
              <w:t xml:space="preserve">especializada en </w:t>
            </w:r>
            <w:r w:rsidR="007F1B50">
              <w:t>obras de infiltración:</w:t>
            </w:r>
          </w:p>
          <w:p w:rsidR="00CC72DE" w:rsidRPr="00CF5CF6" w:rsidRDefault="00CC72DE" w:rsidP="009862A0">
            <w:pPr>
              <w:jc w:val="both"/>
            </w:pPr>
            <w:r w:rsidRPr="00CF5CF6">
              <w:t>a)</w:t>
            </w:r>
            <w:r>
              <w:t>.- I</w:t>
            </w:r>
            <w:r w:rsidRPr="00CF5CF6">
              <w:t xml:space="preserve">dentificación de las áreas permeables a nivel parcelario para </w:t>
            </w:r>
            <w:r w:rsidR="009862A0">
              <w:t>la captación del agua de lluvia</w:t>
            </w:r>
          </w:p>
          <w:p w:rsidR="00CC72DE" w:rsidRPr="00CF5CF6" w:rsidRDefault="00CC72DE" w:rsidP="00CC72DE">
            <w:pPr>
              <w:jc w:val="both"/>
            </w:pPr>
            <w:r w:rsidRPr="00CF5CF6">
              <w:t>c)- Localización de pozos profundos colapsados en el territorio del Acuífero Toluquilla, situado en el Va</w:t>
            </w:r>
            <w:r w:rsidR="009862A0">
              <w:t>lle Productivo del mismo nombre</w:t>
            </w:r>
          </w:p>
          <w:p w:rsidR="00CC72DE" w:rsidRPr="00CF5CF6" w:rsidRDefault="009862A0" w:rsidP="00CC72DE">
            <w:r>
              <w:t>5</w:t>
            </w:r>
            <w:r w:rsidR="00CC72DE" w:rsidRPr="00CF5CF6">
              <w:t xml:space="preserve">.- Construcción técnica de </w:t>
            </w:r>
            <w:r>
              <w:t>20</w:t>
            </w:r>
            <w:r w:rsidR="00CC72DE" w:rsidRPr="00CF5CF6">
              <w:t xml:space="preserve"> obra</w:t>
            </w:r>
            <w:r w:rsidR="00CC72DE">
              <w:t>s</w:t>
            </w:r>
            <w:r w:rsidR="00CC72DE" w:rsidRPr="00CF5CF6">
              <w:t xml:space="preserve"> de captación del agua de lluvia (Pozos de absorción).</w:t>
            </w:r>
          </w:p>
          <w:p w:rsidR="00CC72DE" w:rsidRPr="00CF5CF6" w:rsidRDefault="009862A0" w:rsidP="009862A0">
            <w:pPr>
              <w:jc w:val="both"/>
            </w:pPr>
            <w:r>
              <w:t>Perforación</w:t>
            </w:r>
            <w:r w:rsidR="00CC72DE">
              <w:t xml:space="preserve"> de 2</w:t>
            </w:r>
            <w:r w:rsidR="00CC72DE" w:rsidRPr="00CF5CF6">
              <w:t xml:space="preserve">0 pozos de absorción correctamente instalado, </w:t>
            </w:r>
            <w:r w:rsidR="00CC72DE">
              <w:t>con escalera marinera, incluido el flete de los materiales y el retiro del mat</w:t>
            </w:r>
            <w:r>
              <w:t>e</w:t>
            </w:r>
            <w:r w:rsidR="00CC72DE">
              <w:t xml:space="preserve">rial de excavación de las </w:t>
            </w:r>
            <w:r w:rsidR="00CC72DE" w:rsidRPr="00CF5CF6">
              <w:t xml:space="preserve">parcelas ejidales, de los núcleos agrarios: Santa Anita, Santa Ana </w:t>
            </w:r>
            <w:r w:rsidRPr="00CF5CF6">
              <w:t>Tepetitlán</w:t>
            </w:r>
            <w:r w:rsidR="00CC72DE" w:rsidRPr="00CF5CF6">
              <w:t xml:space="preserve"> (Las Pomas), La Calerilla, San Sebastianito, localizados en el Valle</w:t>
            </w:r>
            <w:r w:rsidR="00CC72DE">
              <w:t xml:space="preserve"> Productivo de Toluquilla</w:t>
            </w:r>
          </w:p>
          <w:p w:rsidR="00861543" w:rsidRPr="009862A0" w:rsidRDefault="00CC72DE" w:rsidP="009862A0">
            <w:pPr>
              <w:jc w:val="both"/>
              <w:rPr>
                <w:b/>
              </w:rPr>
            </w:pPr>
            <w:r w:rsidRPr="00CF5CF6">
              <w:t>8.-</w:t>
            </w:r>
            <w:r>
              <w:t xml:space="preserve"> C</w:t>
            </w:r>
            <w:r w:rsidRPr="00CF5CF6">
              <w:t xml:space="preserve">aptara el agua de lluvia, para la recarga del manto freático de </w:t>
            </w:r>
            <w:r>
              <w:t xml:space="preserve">las </w:t>
            </w:r>
            <w:r w:rsidRPr="00CF5CF6">
              <w:t>fuente</w:t>
            </w:r>
            <w:r>
              <w:t>s</w:t>
            </w:r>
            <w:r w:rsidRPr="00CF5CF6">
              <w:t xml:space="preserve"> de abastecimiento (Pozo Profundo), mismo que paulatinamente </w:t>
            </w:r>
            <w:r>
              <w:t xml:space="preserve">ira incrementando </w:t>
            </w:r>
            <w:r w:rsidRPr="00CF5CF6">
              <w:t>el volumen disponible, consecuentemente ira estabilizándose</w:t>
            </w:r>
            <w:r>
              <w:t>, además de implementar el</w:t>
            </w:r>
            <w:r w:rsidRPr="00CF5CF6">
              <w:t xml:space="preserve"> manejo sustentable del agua</w:t>
            </w:r>
            <w:r>
              <w:t>, en los usuarios del riego.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3366B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9862A0">
              <w:rPr>
                <w:b/>
              </w:rPr>
              <w:t>Pozos de absorción de agua de lluvia tecnificados</w:t>
            </w:r>
          </w:p>
        </w:tc>
        <w:tc>
          <w:tcPr>
            <w:tcW w:w="3091" w:type="dxa"/>
          </w:tcPr>
          <w:p w:rsidR="000026DB" w:rsidRPr="009367AB" w:rsidRDefault="009862A0" w:rsidP="009367AB">
            <w:pPr>
              <w:jc w:val="center"/>
              <w:rPr>
                <w:b/>
              </w:rPr>
            </w:pPr>
            <w:r>
              <w:rPr>
                <w:b/>
              </w:rPr>
              <w:t>Cantidad de pozos de absorción tecnificados / Cantidad total proyectada de Pozos de absorción tecnificados a construir</w:t>
            </w:r>
          </w:p>
        </w:tc>
        <w:tc>
          <w:tcPr>
            <w:tcW w:w="2957" w:type="dxa"/>
            <w:gridSpan w:val="2"/>
          </w:tcPr>
          <w:p w:rsidR="000026DB" w:rsidRPr="009367AB" w:rsidRDefault="009862A0" w:rsidP="009367AB">
            <w:pPr>
              <w:jc w:val="center"/>
              <w:rPr>
                <w:b/>
              </w:rPr>
            </w:pPr>
            <w:r>
              <w:rPr>
                <w:b/>
              </w:rPr>
              <w:t>Construcción de 20 pozos de absorción tecnificados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366B5" w:rsidP="003366B5">
            <w:pPr>
              <w:jc w:val="center"/>
              <w:rPr>
                <w:b/>
              </w:rPr>
            </w:pPr>
            <w:r>
              <w:rPr>
                <w:b/>
              </w:rPr>
              <w:t>Porcentaje de r</w:t>
            </w:r>
            <w:bookmarkStart w:id="0" w:name="_GoBack"/>
            <w:bookmarkEnd w:id="0"/>
            <w:r w:rsidR="00FD3B87">
              <w:rPr>
                <w:b/>
              </w:rPr>
              <w:t>ecuperación de los niveles de los mantos freáticos</w:t>
            </w:r>
          </w:p>
        </w:tc>
        <w:tc>
          <w:tcPr>
            <w:tcW w:w="3091" w:type="dxa"/>
          </w:tcPr>
          <w:p w:rsidR="000026DB" w:rsidRPr="009367AB" w:rsidRDefault="00FD3B87" w:rsidP="009367AB">
            <w:pPr>
              <w:jc w:val="center"/>
              <w:rPr>
                <w:b/>
              </w:rPr>
            </w:pPr>
            <w:r>
              <w:rPr>
                <w:b/>
              </w:rPr>
              <w:t>Nivel del manto freático en los l</w:t>
            </w:r>
            <w:r w:rsidR="007F1B50">
              <w:rPr>
                <w:b/>
              </w:rPr>
              <w:t>ugares donde se construyeron</w:t>
            </w:r>
            <w:r>
              <w:rPr>
                <w:b/>
              </w:rPr>
              <w:t xml:space="preserve"> </w:t>
            </w:r>
            <w:r w:rsidR="007F1B50">
              <w:rPr>
                <w:b/>
              </w:rPr>
              <w:t>l</w:t>
            </w:r>
            <w:r>
              <w:rPr>
                <w:b/>
              </w:rPr>
              <w:t xml:space="preserve">os pozos de absorción </w:t>
            </w:r>
            <w:r w:rsidR="007F1B50">
              <w:rPr>
                <w:b/>
              </w:rPr>
              <w:t xml:space="preserve">posterior al temporal de lluvias </w:t>
            </w:r>
            <w:r>
              <w:rPr>
                <w:b/>
              </w:rPr>
              <w:t xml:space="preserve">/ Nivel </w:t>
            </w:r>
            <w:r w:rsidR="007F1B50">
              <w:rPr>
                <w:b/>
              </w:rPr>
              <w:t>del manto freático antes de construir el pozo de absorción</w:t>
            </w:r>
          </w:p>
        </w:tc>
        <w:tc>
          <w:tcPr>
            <w:tcW w:w="2957" w:type="dxa"/>
            <w:gridSpan w:val="2"/>
          </w:tcPr>
          <w:p w:rsidR="000026DB" w:rsidRPr="009367AB" w:rsidRDefault="007F1B50" w:rsidP="009367AB">
            <w:pPr>
              <w:jc w:val="center"/>
              <w:rPr>
                <w:b/>
              </w:rPr>
            </w:pPr>
            <w:r>
              <w:rPr>
                <w:b/>
              </w:rPr>
              <w:t>Elevar 50 cm el nivel de manto freático en cada uno de los puntos donde se colocaran los pozos de absorción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530AFF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530AFF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530AFF">
        <w:trPr>
          <w:trHeight w:val="57"/>
        </w:trPr>
        <w:tc>
          <w:tcPr>
            <w:tcW w:w="1514" w:type="pct"/>
          </w:tcPr>
          <w:p w:rsidR="000026DB" w:rsidRPr="000026DB" w:rsidRDefault="007F1B50" w:rsidP="000026DB">
            <w:pPr>
              <w:tabs>
                <w:tab w:val="left" w:pos="900"/>
              </w:tabs>
            </w:pPr>
            <w:r w:rsidRPr="00CF5CF6">
              <w:t>1.- Elaboración y Aprobación del Programa Operativo Anual para la construcción de pozos de absorción tecnificados.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7F1B5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30AFF">
        <w:trPr>
          <w:trHeight w:val="20"/>
        </w:trPr>
        <w:tc>
          <w:tcPr>
            <w:tcW w:w="1514" w:type="pct"/>
          </w:tcPr>
          <w:p w:rsidR="000026DB" w:rsidRPr="000026DB" w:rsidRDefault="007F1B50" w:rsidP="007F1B50">
            <w:r>
              <w:t>2</w:t>
            </w:r>
            <w:r w:rsidRPr="00CF5CF6">
              <w:t>.-</w:t>
            </w:r>
            <w:r>
              <w:t>Aprobación</w:t>
            </w:r>
            <w:r w:rsidRPr="00CF5CF6">
              <w:t xml:space="preserve"> del Programa </w:t>
            </w:r>
            <w:r>
              <w:t xml:space="preserve">por Cabildo Municipal </w:t>
            </w:r>
            <w:r w:rsidRPr="00CF5CF6">
              <w:t xml:space="preserve">y </w:t>
            </w:r>
            <w:r>
              <w:t>el Consejo M</w:t>
            </w:r>
            <w:r w:rsidRPr="00CF5CF6">
              <w:t>unicipal</w:t>
            </w:r>
            <w:r>
              <w:t xml:space="preserve"> de Desarrollo Rural Sustentable de San Pedro Tlaquepaque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7F1B5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30AFF">
        <w:trPr>
          <w:trHeight w:val="20"/>
        </w:trPr>
        <w:tc>
          <w:tcPr>
            <w:tcW w:w="1514" w:type="pct"/>
          </w:tcPr>
          <w:p w:rsidR="000026DB" w:rsidRPr="000026DB" w:rsidRDefault="007F1B50" w:rsidP="007F1B50">
            <w:r>
              <w:t>3</w:t>
            </w:r>
            <w:r w:rsidRPr="00CF5CF6">
              <w:t>.- Solicitud de la suficiencia presupu</w:t>
            </w:r>
            <w:r>
              <w:t>estal a la Dirección de Proveeduría Municipal por $ 719,200.00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7F1B5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30AFF">
        <w:trPr>
          <w:trHeight w:val="20"/>
        </w:trPr>
        <w:tc>
          <w:tcPr>
            <w:tcW w:w="1514" w:type="pct"/>
          </w:tcPr>
          <w:p w:rsidR="0069396A" w:rsidRPr="00CF5CF6" w:rsidRDefault="0069396A" w:rsidP="0069396A">
            <w:pPr>
              <w:jc w:val="both"/>
            </w:pPr>
            <w:r>
              <w:t>4</w:t>
            </w:r>
            <w:r w:rsidRPr="00CF5CF6">
              <w:t xml:space="preserve">.- </w:t>
            </w:r>
            <w:r>
              <w:t>I</w:t>
            </w:r>
            <w:r w:rsidRPr="00CF5CF6">
              <w:t xml:space="preserve">dentificación de las áreas permeables a nivel parcelario para </w:t>
            </w:r>
            <w:r>
              <w:t>la captación del agua de lluvia</w:t>
            </w:r>
          </w:p>
          <w:p w:rsidR="000026DB" w:rsidRPr="000026DB" w:rsidRDefault="0069396A" w:rsidP="0069396A">
            <w:pPr>
              <w:jc w:val="both"/>
            </w:pPr>
            <w:r w:rsidRPr="00CF5CF6">
              <w:t>Localización de pozos profundos colapsados en el territorio del Acuífero Toluquilla, situado en el Va</w:t>
            </w:r>
            <w:r>
              <w:t>lle Productivo del mismo nombre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30AFF">
        <w:trPr>
          <w:trHeight w:val="20"/>
        </w:trPr>
        <w:tc>
          <w:tcPr>
            <w:tcW w:w="1514" w:type="pct"/>
          </w:tcPr>
          <w:p w:rsidR="000026DB" w:rsidRPr="000026DB" w:rsidRDefault="00530AFF" w:rsidP="00530AFF">
            <w:r>
              <w:t>5</w:t>
            </w:r>
            <w:r w:rsidRPr="00CF5CF6">
              <w:t xml:space="preserve">.- Construcción técnica de </w:t>
            </w:r>
            <w:r>
              <w:t>20</w:t>
            </w:r>
            <w:r w:rsidRPr="00CF5CF6">
              <w:t xml:space="preserve"> obra</w:t>
            </w:r>
            <w:r>
              <w:t>s</w:t>
            </w:r>
            <w:r w:rsidRPr="00CF5CF6">
              <w:t xml:space="preserve"> de captación del agua</w:t>
            </w:r>
            <w:r>
              <w:t xml:space="preserve"> de lluvia (Pozos de absorción) en los Ejidos </w:t>
            </w:r>
            <w:r w:rsidRPr="00CF5CF6">
              <w:t xml:space="preserve">Santa Anita, Santa Ana Tepetitlán (Las Pomas), </w:t>
            </w:r>
            <w:r>
              <w:t>La Calerilla, San Sebastianito y Toluquilla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30AFF">
        <w:trPr>
          <w:trHeight w:val="20"/>
        </w:trPr>
        <w:tc>
          <w:tcPr>
            <w:tcW w:w="1514" w:type="pct"/>
          </w:tcPr>
          <w:p w:rsidR="000026DB" w:rsidRPr="000026DB" w:rsidRDefault="00530AFF" w:rsidP="000026DB">
            <w:pPr>
              <w:tabs>
                <w:tab w:val="left" w:pos="900"/>
              </w:tabs>
            </w:pPr>
            <w:r w:rsidRPr="00CF5CF6">
              <w:t>8.-</w:t>
            </w:r>
            <w:r>
              <w:t xml:space="preserve"> C</w:t>
            </w:r>
            <w:r w:rsidRPr="00CF5CF6">
              <w:t xml:space="preserve">aptara el agua de lluvia, para la recarga del manto freático de </w:t>
            </w:r>
            <w:r>
              <w:t xml:space="preserve">las </w:t>
            </w:r>
            <w:r w:rsidRPr="00CF5CF6">
              <w:t>fuente</w:t>
            </w:r>
            <w:r>
              <w:t>s</w:t>
            </w:r>
            <w:r w:rsidRPr="00CF5CF6">
              <w:t xml:space="preserve"> de abastecimiento (Pozo Profundo), mismo que paulatinamente </w:t>
            </w:r>
            <w:r>
              <w:t xml:space="preserve">ira incrementando </w:t>
            </w:r>
            <w:r w:rsidRPr="00CF5CF6">
              <w:t>el</w:t>
            </w:r>
            <w:r>
              <w:t xml:space="preserve"> volumen disponible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530A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366B5"/>
    <w:rsid w:val="00391484"/>
    <w:rsid w:val="00393383"/>
    <w:rsid w:val="00414F64"/>
    <w:rsid w:val="0049161A"/>
    <w:rsid w:val="00530AFF"/>
    <w:rsid w:val="0069396A"/>
    <w:rsid w:val="00741DE0"/>
    <w:rsid w:val="007F1B50"/>
    <w:rsid w:val="00823C60"/>
    <w:rsid w:val="00833CFC"/>
    <w:rsid w:val="00861543"/>
    <w:rsid w:val="009367AB"/>
    <w:rsid w:val="009862A0"/>
    <w:rsid w:val="00A35AE4"/>
    <w:rsid w:val="00A56F46"/>
    <w:rsid w:val="00BF7E14"/>
    <w:rsid w:val="00C52AF0"/>
    <w:rsid w:val="00C80A01"/>
    <w:rsid w:val="00CC72DE"/>
    <w:rsid w:val="00E20015"/>
    <w:rsid w:val="00E77791"/>
    <w:rsid w:val="00F62DBE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3321C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36</TotalTime>
  <Pages>5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dcterms:created xsi:type="dcterms:W3CDTF">2021-10-08T20:18:00Z</dcterms:created>
  <dcterms:modified xsi:type="dcterms:W3CDTF">2021-11-30T18:27:00Z</dcterms:modified>
</cp:coreProperties>
</file>