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D55FAD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UNIDAD DE TRANSPARENCIA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D55FAD" w:rsidRDefault="00D55FAD" w:rsidP="00D55F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Atención de solicitudes de acceso a la información pública</w:t>
            </w:r>
            <w:r w:rsidR="00A61FFD">
              <w:rPr>
                <w:rFonts w:ascii="Calibri" w:hAnsi="Calibri" w:cs="Calibri"/>
                <w:color w:val="000000"/>
              </w:rPr>
              <w:t xml:space="preserve"> y derechos ARCO</w:t>
            </w:r>
          </w:p>
          <w:p w:rsidR="00BF7E14" w:rsidRPr="00A35AE4" w:rsidRDefault="00BF7E14" w:rsidP="00BF7E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55FAD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55FAD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D55FAD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B11D06" w:rsidP="00BF7E14">
            <w:pPr>
              <w:rPr>
                <w:b/>
              </w:rPr>
            </w:pPr>
            <w:r>
              <w:rPr>
                <w:rFonts w:eastAsia="Times New Roman" w:cstheme="minorHAnsi"/>
                <w:color w:val="000000" w:themeColor="text1"/>
              </w:rPr>
              <w:t>Las ciudadanas y ciudadanos de San Pedro Tlaquepaque necesitan conocer la información fundamental y ordinaria de su interés sin sustenta</w:t>
            </w:r>
            <w:r w:rsidR="00A61FFD">
              <w:rPr>
                <w:rFonts w:eastAsia="Times New Roman" w:cstheme="minorHAnsi"/>
                <w:color w:val="000000" w:themeColor="text1"/>
              </w:rPr>
              <w:t>r justificación o motivo alguno, así como proteger sus datos personales en posesión del Gobierno Municipal.</w:t>
            </w:r>
          </w:p>
          <w:p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BA4E12" w:rsidP="00A56F46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B11D06" w:rsidRDefault="00B11D06" w:rsidP="00B11D06">
            <w:pPr>
              <w:jc w:val="both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Garantizar el derecho de acceso a la i</w:t>
            </w:r>
            <w:r w:rsidR="00A61FFD">
              <w:rPr>
                <w:rFonts w:eastAsia="Times New Roman" w:cstheme="minorHAnsi"/>
                <w:color w:val="000000" w:themeColor="text1"/>
              </w:rPr>
              <w:t>nformación pública y el ejercicio de los derechos de acceso, rectificación, cancelación u oposición de sus datos personales en posesión del Gobierno Municipal,</w:t>
            </w:r>
            <w:r w:rsidR="00A61FFD" w:rsidRPr="00323C11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A61FFD" w:rsidRPr="00323C11">
              <w:rPr>
                <w:rFonts w:eastAsia="Times New Roman" w:cstheme="minorHAnsi"/>
                <w:color w:val="000000" w:themeColor="text1"/>
              </w:rPr>
              <w:t>a través de la recepción, trámite y respuesta en tiempo y forma de solicitudes de información</w:t>
            </w:r>
            <w:r w:rsidR="00A61FFD">
              <w:rPr>
                <w:rFonts w:eastAsia="Times New Roman" w:cstheme="minorHAnsi"/>
                <w:color w:val="000000" w:themeColor="text1"/>
              </w:rPr>
              <w:t xml:space="preserve"> y ejercicios de derechos ARCO.</w:t>
            </w:r>
          </w:p>
          <w:p w:rsidR="00414F64" w:rsidRPr="00A35AE4" w:rsidRDefault="00414F64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BA4E12">
                <w:pPr>
                  <w:rPr>
                    <w:b/>
                  </w:rPr>
                </w:pPr>
                <w:r>
                  <w:rPr>
                    <w:b/>
                  </w:rPr>
                  <w:t>7.2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BA4E12">
            <w:pPr>
              <w:rPr>
                <w:b/>
              </w:rPr>
            </w:pPr>
            <w:r>
              <w:rPr>
                <w:b/>
              </w:rPr>
              <w:t>Brindar las facilidades para llevar a cabo el procedimiento para consultar o solicitar la información pública</w:t>
            </w:r>
            <w:r w:rsidR="002F19F4">
              <w:rPr>
                <w:b/>
              </w:rPr>
              <w:t>, y responder en tiempo y forma cada una de las solicitudes ayudará en la reconstrucción del tejido social, fungiendo como vínculo entre las y los gobernados y las unidades administrativas del gobierno de San Pedro Tlaquepaque.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B11D06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39.5pt;height:18pt" o:ole="">
                  <v:imagedata r:id="rId7" o:title=""/>
                </v:shape>
                <w:control r:id="rId8" w:name="CheckBox1" w:shapeid="_x0000_i1049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50" type="#_x0000_t75" style="width:139.5pt;height:18pt" o:ole="">
                  <v:imagedata r:id="rId9" o:title=""/>
                </v:shape>
                <w:control r:id="rId10" w:name="CheckBox2" w:shapeid="_x0000_i1050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51" type="#_x0000_t75" style="width:139.5pt;height:25.5pt" o:ole="">
                  <v:imagedata r:id="rId11" o:title=""/>
                </v:shape>
                <w:control r:id="rId12" w:name="CheckBox3" w:shapeid="_x0000_i105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52" type="#_x0000_t75" style="width:139.5pt;height:42.75pt" o:ole="">
                  <v:imagedata r:id="rId13" o:title=""/>
                </v:shape>
                <w:control r:id="rId14" w:name="CheckBox4" w:shapeid="_x0000_i1052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54" type="#_x0000_t75" style="width:139.5pt;height:18pt" o:ole="">
                  <v:imagedata r:id="rId15" o:title=""/>
                </v:shape>
                <w:control r:id="rId16" w:name="CheckBox5" w:shapeid="_x0000_i1054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53" type="#_x0000_t75" style="width:139.5pt;height:18pt" o:ole="">
                  <v:imagedata r:id="rId17" o:title=""/>
                </v:shape>
                <w:control r:id="rId18" w:name="CheckBox6" w:shapeid="_x0000_i1053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2F19F4">
            <w:r>
              <w:t xml:space="preserve">El acceso a la información es un medio que contribuye con las políticas </w:t>
            </w:r>
            <w:r w:rsidR="007A3AA0">
              <w:t xml:space="preserve">públicas de manera transversal </w:t>
            </w:r>
            <w:r>
              <w:t>de la siguiente manera:</w:t>
            </w:r>
          </w:p>
          <w:p w:rsidR="002F19F4" w:rsidRDefault="002F19F4" w:rsidP="002F19F4">
            <w:pPr>
              <w:pStyle w:val="Prrafodelista"/>
              <w:numPr>
                <w:ilvl w:val="0"/>
                <w:numId w:val="1"/>
              </w:numPr>
            </w:pPr>
            <w:r>
              <w:t>Perspectiva de género: Toda vez que las ciudadanas y ciudadanos puede ejercer su derecho de acceso a la información para todo lo relativo al tema y sus intereses, las mujeres pueden ten</w:t>
            </w:r>
            <w:r w:rsidR="001036A1">
              <w:t>er conocimiento de las acciones que se emprenden para avanzar en la construcción de la igualdad de género tanto del municipios como de otros entes públicos del estado y la nación.</w:t>
            </w:r>
          </w:p>
          <w:p w:rsidR="001036A1" w:rsidRDefault="001036A1" w:rsidP="002F19F4">
            <w:pPr>
              <w:pStyle w:val="Prrafodelista"/>
              <w:numPr>
                <w:ilvl w:val="0"/>
                <w:numId w:val="1"/>
              </w:numPr>
            </w:pPr>
            <w:r>
              <w:t>Personas adultas mayores: El acceso a la información es un derecho humano fundamental y universal que incluye a todas las personas sin importar su sexo y edad, por lo que las personas adultas mayores puede ejercerlo y ser beneficiados con la información que sea de relevancia para ellos.</w:t>
            </w:r>
          </w:p>
          <w:p w:rsidR="001036A1" w:rsidRDefault="001036A1" w:rsidP="001036A1">
            <w:pPr>
              <w:pStyle w:val="Prrafodelista"/>
              <w:numPr>
                <w:ilvl w:val="0"/>
                <w:numId w:val="1"/>
              </w:numPr>
            </w:pPr>
            <w:r>
              <w:t>Protección a Niñas Niños y adolescentes: El acceso a la información es un derecho que pueden ejercer nuestras niñas, niños y adolescentes, sobre todo tratándose de mantenerse informados sobre sus derechos humanos. A través de este medio, se puede acceder a la información concerniente a este tema, solicitar ayuda y orientación.</w:t>
            </w:r>
          </w:p>
          <w:p w:rsidR="001036A1" w:rsidRDefault="001036A1" w:rsidP="001036A1">
            <w:pPr>
              <w:pStyle w:val="Prrafodelista"/>
              <w:numPr>
                <w:ilvl w:val="0"/>
                <w:numId w:val="1"/>
              </w:numPr>
            </w:pPr>
            <w:r>
              <w:t>Inclusión: Al ser este un derecho universal, toda persona</w:t>
            </w:r>
            <w:r w:rsidR="007A3AA0">
              <w:t xml:space="preserve"> puede ejercerlo en condiciones de igualdad.</w:t>
            </w:r>
          </w:p>
          <w:p w:rsidR="007A3AA0" w:rsidRDefault="007A3AA0" w:rsidP="001036A1">
            <w:pPr>
              <w:pStyle w:val="Prrafodelista"/>
              <w:numPr>
                <w:ilvl w:val="0"/>
                <w:numId w:val="1"/>
              </w:numPr>
            </w:pPr>
            <w:r>
              <w:t>Cambio climático, ODS, y seguridad humana: es una herramienta para que las personas puedan acceder a la información de su interés y beneficio relacionado con los temas.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861543"/>
          <w:p w:rsidR="007A3AA0" w:rsidRDefault="007A3AA0" w:rsidP="007A3AA0">
            <w:pPr>
              <w:pStyle w:val="Prrafodelista"/>
              <w:numPr>
                <w:ilvl w:val="0"/>
                <w:numId w:val="2"/>
              </w:numPr>
            </w:pPr>
            <w:r>
              <w:t>Promover, fomentar y difundir la cultura de la transparencia y el acceso a la información entre las ciudadanas y ciudadanos de San Pedro Tlaquepaque.</w:t>
            </w:r>
          </w:p>
          <w:p w:rsidR="00A61FFD" w:rsidRDefault="00A61FFD" w:rsidP="007A3AA0">
            <w:pPr>
              <w:pStyle w:val="Prrafodelista"/>
              <w:numPr>
                <w:ilvl w:val="0"/>
                <w:numId w:val="2"/>
              </w:numPr>
            </w:pPr>
            <w:r>
              <w:t>Responder las solicitudes de acceso a la información y derechos ARCO</w:t>
            </w:r>
          </w:p>
          <w:p w:rsidR="007A3AA0" w:rsidRDefault="007A3AA0" w:rsidP="007A3AA0">
            <w:pPr>
              <w:pStyle w:val="Prrafodelista"/>
            </w:pPr>
          </w:p>
          <w:p w:rsidR="007A3AA0" w:rsidRDefault="007A3AA0" w:rsidP="007A3AA0">
            <w:pPr>
              <w:pStyle w:val="Prrafodelista"/>
            </w:pPr>
          </w:p>
          <w:p w:rsidR="007A3AA0" w:rsidRDefault="007A3AA0" w:rsidP="007A3AA0">
            <w:pPr>
              <w:pStyle w:val="Prrafodelista"/>
            </w:pP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7A3AA0" w:rsidRDefault="001E6828" w:rsidP="007A3AA0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>Atención de solicitudes de acceso a la información.</w:t>
            </w:r>
            <w:r w:rsidR="00A61FFD">
              <w:rPr>
                <w:rFonts w:ascii="Californian FB" w:hAnsi="Californian FB" w:cs="Calibri"/>
                <w:sz w:val="18"/>
                <w:szCs w:val="18"/>
              </w:rPr>
              <w:t xml:space="preserve"> y derechos ARCO</w:t>
            </w:r>
            <w:r>
              <w:rPr>
                <w:rFonts w:ascii="Californian FB" w:hAnsi="Californian FB" w:cs="Calibri"/>
                <w:sz w:val="18"/>
                <w:szCs w:val="18"/>
              </w:rPr>
              <w:t xml:space="preserve">  </w:t>
            </w:r>
          </w:p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A61FFD" w:rsidP="009367AB">
            <w:pPr>
              <w:jc w:val="center"/>
              <w:rPr>
                <w:b/>
              </w:rPr>
            </w:pPr>
            <w:r>
              <w:rPr>
                <w:b/>
              </w:rPr>
              <w:t>Número de solicitudes de acceso a la información y derechos ARCO atendidas</w:t>
            </w:r>
          </w:p>
        </w:tc>
        <w:tc>
          <w:tcPr>
            <w:tcW w:w="2957" w:type="dxa"/>
            <w:gridSpan w:val="2"/>
          </w:tcPr>
          <w:p w:rsidR="000026DB" w:rsidRPr="009367AB" w:rsidRDefault="001E6828" w:rsidP="009367AB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B15795" w:rsidP="009367AB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091" w:type="dxa"/>
          </w:tcPr>
          <w:p w:rsidR="000026DB" w:rsidRPr="009367AB" w:rsidRDefault="00B15795" w:rsidP="009367AB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2957" w:type="dxa"/>
            <w:gridSpan w:val="2"/>
          </w:tcPr>
          <w:p w:rsidR="000026DB" w:rsidRPr="009367AB" w:rsidRDefault="00B15795" w:rsidP="009367AB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A61FFD" w:rsidP="00A61FFD">
            <w:pPr>
              <w:pStyle w:val="Prrafodelista"/>
              <w:numPr>
                <w:ilvl w:val="0"/>
                <w:numId w:val="3"/>
              </w:numPr>
            </w:pPr>
            <w:r>
              <w:t>Promover, fomentar y difundir la cultura de la transparencia y el acceso a la información entre las ciudadanas y ciudadanos de San Pedro Tlaquepaque.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A61F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A61F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A61FFD" w:rsidRDefault="00A61FFD" w:rsidP="00A61FFD">
            <w:pPr>
              <w:pStyle w:val="Prrafodelista"/>
              <w:numPr>
                <w:ilvl w:val="0"/>
                <w:numId w:val="3"/>
              </w:numPr>
            </w:pPr>
            <w:r>
              <w:t>Responder las solicitudes de acceso a la información y derechos ARCO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A61F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A61F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A61F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B1579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C3BC8"/>
    <w:multiLevelType w:val="hybridMultilevel"/>
    <w:tmpl w:val="F23EED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37467"/>
    <w:multiLevelType w:val="hybridMultilevel"/>
    <w:tmpl w:val="F23EED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923C4"/>
    <w:multiLevelType w:val="hybridMultilevel"/>
    <w:tmpl w:val="78A492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E3161"/>
    <w:multiLevelType w:val="hybridMultilevel"/>
    <w:tmpl w:val="F23EED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036A1"/>
    <w:rsid w:val="00184C78"/>
    <w:rsid w:val="00186B4C"/>
    <w:rsid w:val="001E6828"/>
    <w:rsid w:val="002F19F4"/>
    <w:rsid w:val="00391484"/>
    <w:rsid w:val="00393383"/>
    <w:rsid w:val="00414F64"/>
    <w:rsid w:val="0049161A"/>
    <w:rsid w:val="00741DE0"/>
    <w:rsid w:val="007A3AA0"/>
    <w:rsid w:val="00823C60"/>
    <w:rsid w:val="00861543"/>
    <w:rsid w:val="009367AB"/>
    <w:rsid w:val="00A35AE4"/>
    <w:rsid w:val="00A56F46"/>
    <w:rsid w:val="00A61FFD"/>
    <w:rsid w:val="00B11D06"/>
    <w:rsid w:val="00B15795"/>
    <w:rsid w:val="00BA4E12"/>
    <w:rsid w:val="00BF7E14"/>
    <w:rsid w:val="00C52AF0"/>
    <w:rsid w:val="00D55FAD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Prrafodelista">
    <w:name w:val="List Paragraph"/>
    <w:basedOn w:val="Normal"/>
    <w:uiPriority w:val="34"/>
    <w:qFormat/>
    <w:rsid w:val="002F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Cesar Ignacio Bocanegra Alvarado</cp:lastModifiedBy>
  <cp:revision>10</cp:revision>
  <dcterms:created xsi:type="dcterms:W3CDTF">2021-10-04T16:02:00Z</dcterms:created>
  <dcterms:modified xsi:type="dcterms:W3CDTF">2021-10-15T17:14:00Z</dcterms:modified>
</cp:coreProperties>
</file>