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7E9F8E7" w14:textId="0F29C021" w:rsidR="009A2C5D" w:rsidRDefault="00A85D86">
            <w:r>
              <w:t>Dirección De Profesionalización Y Acreditación Policial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C1B748A" w14:textId="6AC0ABDF" w:rsidR="009A2C5D" w:rsidRPr="0035569B" w:rsidRDefault="00A85D86" w:rsidP="0034725E">
            <w:bookmarkStart w:id="0" w:name="_GoBack"/>
            <w:r>
              <w:t>Reclutamiento de aspirantes a policía preventivo municipal de San Pedro Tlaquepaque.</w:t>
            </w:r>
            <w:bookmarkEnd w:id="0"/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77777777" w:rsidR="00731998" w:rsidRDefault="00731998" w:rsidP="00731998">
            <w:pPr>
              <w:jc w:val="center"/>
            </w:pP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7EBC8162" w:rsidR="00765AB3" w:rsidRPr="0035569B" w:rsidRDefault="00A85D86" w:rsidP="00A85D86">
            <w:r w:rsidRPr="00D33E36">
              <w:t>La Comisaría de la Policía Preventiva Municipal de San Pedro Tlaquepaque, cuenta con un déficit de policías en su estado de fuerza, razón por la cual es indispensable reclutar a más ciudadanos para que se integren a l</w:t>
            </w:r>
            <w:r>
              <w:t>as filas de nuestra Corporación y cubrir la necesidad de seguridad que demanda la ciudadanía.</w:t>
            </w:r>
          </w:p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1A6B9469" w:rsidR="00765AB3" w:rsidRPr="0035569B" w:rsidRDefault="00A85D86" w:rsidP="00A85D86">
            <w:r w:rsidRPr="00606CDE">
              <w:t>Reclutar, selecci</w:t>
            </w:r>
            <w:r>
              <w:t>onar, capacitara a 70</w:t>
            </w:r>
            <w:r w:rsidRPr="00606CDE">
              <w:t xml:space="preserve"> personas, </w:t>
            </w:r>
            <w:r>
              <w:t xml:space="preserve">que se dividirán en dos grupos de 35 mujeres y hombres que se capacitaran: uno con recurso municipal y el otro con recurso federal. Al término de su formación inicial se </w:t>
            </w:r>
            <w:r>
              <w:t xml:space="preserve">contratarán </w:t>
            </w:r>
            <w:r>
              <w:t>con el</w:t>
            </w:r>
            <w:r>
              <w:t xml:space="preserve"> </w:t>
            </w:r>
            <w:r>
              <w:t>objetivo</w:t>
            </w:r>
            <w:r>
              <w:t xml:space="preserve"> </w:t>
            </w:r>
            <w:r w:rsidRPr="00606CDE">
              <w:t xml:space="preserve">de que se integren al estado de fuerza de la Comisaría Municipal </w:t>
            </w:r>
            <w:r>
              <w:t>para</w:t>
            </w:r>
            <w:r w:rsidRPr="00606CDE">
              <w:t xml:space="preserve"> fortale</w:t>
            </w:r>
            <w:r>
              <w:t xml:space="preserve">cer la vigilancia y patrullaje </w:t>
            </w:r>
            <w:r w:rsidRPr="00606CDE">
              <w:t>y</w:t>
            </w:r>
            <w:r>
              <w:t xml:space="preserve"> así</w:t>
            </w:r>
            <w:r w:rsidRPr="00606CDE">
              <w:t xml:space="preserve"> reducir los índices de inseguridad en el municipio. Las mujeres y hombres seleccionados deberán contar con bachillerato concluido y </w:t>
            </w:r>
            <w:r>
              <w:t>examen aprobado del Centro de Control y confianza, además que reúnan los</w:t>
            </w:r>
            <w:r w:rsidRPr="00606CDE">
              <w:t xml:space="preserve"> requisitos de la convocatoria, así como residir dentro de la Zona Metropolitana de Guadalajara.</w:t>
            </w:r>
          </w:p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8A25B87" w14:textId="77777777" w:rsidR="00A85D86" w:rsidRPr="00716923" w:rsidRDefault="00A85D86" w:rsidP="00A85D86">
            <w:r w:rsidRPr="00716923">
              <w:t>5.6 Profesionalizar el servicio de seguridad pública</w:t>
            </w:r>
          </w:p>
          <w:p w14:paraId="075B2BE5" w14:textId="733AE767" w:rsidR="00E808A6" w:rsidRPr="0035569B" w:rsidRDefault="00A85D86" w:rsidP="00A85D86">
            <w:r>
              <w:t xml:space="preserve">5.6.1 </w:t>
            </w:r>
            <w:r w:rsidRPr="00716923">
              <w:t>Aplicación del servicio p</w:t>
            </w:r>
            <w:r>
              <w:t>rofesional de carrera policial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B66FD83" w14:textId="199F9B11" w:rsidR="00E808A6" w:rsidRPr="00C76E9F" w:rsidRDefault="00A85D86" w:rsidP="00A0316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Porcentaje de avance en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reclutamiento de aspirantes a policía preventiva de San Pedro </w:t>
            </w:r>
            <w:r>
              <w:rPr>
                <w:rFonts w:ascii="Calibri" w:hAnsi="Calibri" w:cs="Calibri"/>
                <w:color w:val="000000"/>
              </w:rPr>
              <w:t>Tlaquepaque</w:t>
            </w: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918901D" w14:textId="0ED310C3" w:rsidR="00E808A6" w:rsidRPr="00A0316B" w:rsidRDefault="00A85D86" w:rsidP="00A85D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Aspirantes</w:t>
            </w:r>
          </w:p>
        </w:tc>
        <w:tc>
          <w:tcPr>
            <w:tcW w:w="4218" w:type="dxa"/>
            <w:gridSpan w:val="2"/>
          </w:tcPr>
          <w:p w14:paraId="228BDF66" w14:textId="77777777" w:rsidR="00A85D86" w:rsidRDefault="00A85D8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2E97829" w14:textId="1040D72F" w:rsidR="00A0316B" w:rsidRPr="00A0316B" w:rsidRDefault="00A85D86" w:rsidP="00A03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14:paraId="7E5D7662" w14:textId="57D8ABF4" w:rsidR="00E808A6" w:rsidRPr="00A0316B" w:rsidRDefault="00E808A6" w:rsidP="00A85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85D86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6DCF-4DE9-4CB6-A2FE-EEBBD14B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2020-11-04T17:12:00Z</dcterms:created>
  <dcterms:modified xsi:type="dcterms:W3CDTF">2020-11-04T17:12:00Z</dcterms:modified>
</cp:coreProperties>
</file>