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221ED719" w14:textId="77777777" w:rsidTr="009A2C5D">
        <w:tc>
          <w:tcPr>
            <w:tcW w:w="1450" w:type="dxa"/>
            <w:shd w:val="clear" w:color="auto" w:fill="D9D9D9" w:themeFill="background1" w:themeFillShade="D9"/>
          </w:tcPr>
          <w:p w14:paraId="036C67F0" w14:textId="77777777" w:rsidR="009A2C5D" w:rsidRPr="005C396B" w:rsidRDefault="009A2C5D">
            <w:pPr>
              <w:rPr>
                <w:rFonts w:ascii="Arial Narrow" w:hAnsi="Arial Narrow"/>
                <w:b/>
              </w:rPr>
            </w:pPr>
            <w:r w:rsidRPr="005C396B">
              <w:rPr>
                <w:rFonts w:ascii="Arial Narrow" w:hAnsi="Arial Narrow"/>
                <w:b/>
              </w:rPr>
              <w:t>Dependencia:</w:t>
            </w:r>
          </w:p>
          <w:p w14:paraId="70DC20FA" w14:textId="77777777" w:rsidR="009A2C5D" w:rsidRPr="005C396B" w:rsidRDefault="009A2C5D">
            <w:pPr>
              <w:rPr>
                <w:rFonts w:ascii="Arial Narrow" w:hAnsi="Arial Narrow"/>
                <w:b/>
              </w:rPr>
            </w:pPr>
          </w:p>
        </w:tc>
        <w:tc>
          <w:tcPr>
            <w:tcW w:w="10179" w:type="dxa"/>
            <w:gridSpan w:val="5"/>
          </w:tcPr>
          <w:p w14:paraId="47E9F8E7" w14:textId="7A82772A" w:rsidR="009A2C5D" w:rsidRDefault="00B46CC0">
            <w:r>
              <w:t>Dirección de Seguimiento y Evaluación de Políticas Públicas</w:t>
            </w:r>
          </w:p>
        </w:tc>
        <w:tc>
          <w:tcPr>
            <w:tcW w:w="2365" w:type="dxa"/>
            <w:vMerge w:val="restart"/>
            <w:shd w:val="clear" w:color="auto" w:fill="BFBFBF" w:themeFill="background1" w:themeFillShade="BF"/>
          </w:tcPr>
          <w:p w14:paraId="75FE86EA" w14:textId="77777777" w:rsidR="009A2C5D" w:rsidRDefault="009A2C5D" w:rsidP="0034725E">
            <w:pPr>
              <w:jc w:val="right"/>
              <w:rPr>
                <w:b/>
                <w:sz w:val="24"/>
              </w:rPr>
            </w:pPr>
          </w:p>
          <w:p w14:paraId="408AA669" w14:textId="77777777" w:rsidR="009A2C5D" w:rsidRPr="00970FDC" w:rsidRDefault="00947234" w:rsidP="009A2C5D">
            <w:pPr>
              <w:jc w:val="center"/>
              <w:rPr>
                <w:b/>
                <w:sz w:val="24"/>
              </w:rPr>
            </w:pPr>
            <w:r>
              <w:rPr>
                <w:b/>
                <w:sz w:val="32"/>
              </w:rPr>
              <w:t>POA 2021</w:t>
            </w:r>
          </w:p>
        </w:tc>
      </w:tr>
      <w:tr w:rsidR="009A2C5D" w14:paraId="12B61FF8" w14:textId="77777777" w:rsidTr="009A2C5D">
        <w:tc>
          <w:tcPr>
            <w:tcW w:w="1450" w:type="dxa"/>
            <w:shd w:val="clear" w:color="auto" w:fill="D9D9D9" w:themeFill="background1" w:themeFillShade="D9"/>
          </w:tcPr>
          <w:p w14:paraId="142EA277"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5C1B748A" w14:textId="502A18C9" w:rsidR="009A2C5D" w:rsidRPr="0035569B" w:rsidRDefault="00B46CC0" w:rsidP="0034725E">
            <w:r>
              <w:t>Evaluación a la Administración Pública Municipal</w:t>
            </w:r>
          </w:p>
        </w:tc>
        <w:tc>
          <w:tcPr>
            <w:tcW w:w="2365" w:type="dxa"/>
            <w:vMerge/>
          </w:tcPr>
          <w:p w14:paraId="2452ACA6" w14:textId="77777777" w:rsidR="009A2C5D" w:rsidRDefault="009A2C5D" w:rsidP="0034725E"/>
        </w:tc>
      </w:tr>
      <w:tr w:rsidR="00731998" w14:paraId="5C09408D" w14:textId="77777777" w:rsidTr="00731998">
        <w:tc>
          <w:tcPr>
            <w:tcW w:w="4560" w:type="dxa"/>
            <w:gridSpan w:val="3"/>
            <w:shd w:val="clear" w:color="auto" w:fill="BFBFBF" w:themeFill="background1" w:themeFillShade="BF"/>
          </w:tcPr>
          <w:p w14:paraId="6FF52164"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2A0EF14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1A4B7662" w14:textId="77777777" w:rsidR="00731998" w:rsidRDefault="00731998" w:rsidP="0034725E">
            <w:pPr>
              <w:jc w:val="center"/>
            </w:pPr>
            <w:r w:rsidRPr="005C396B">
              <w:rPr>
                <w:rFonts w:ascii="Arial Narrow" w:hAnsi="Arial Narrow"/>
                <w:b/>
              </w:rPr>
              <w:t>Duración en meses</w:t>
            </w:r>
          </w:p>
        </w:tc>
      </w:tr>
      <w:tr w:rsidR="00731998" w14:paraId="3120641D" w14:textId="77777777" w:rsidTr="00731998">
        <w:trPr>
          <w:trHeight w:val="524"/>
        </w:trPr>
        <w:tc>
          <w:tcPr>
            <w:tcW w:w="1450" w:type="dxa"/>
            <w:shd w:val="clear" w:color="auto" w:fill="BFBFBF" w:themeFill="background1" w:themeFillShade="BF"/>
          </w:tcPr>
          <w:p w14:paraId="69FE4ED7"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5C238457"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5998EF92"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5B2B9871"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3284102D"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0F6D621F"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7259F59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002F496C" w14:textId="77777777" w:rsidR="00731998" w:rsidRPr="005C396B" w:rsidRDefault="00731998" w:rsidP="0034725E">
            <w:pPr>
              <w:jc w:val="center"/>
              <w:rPr>
                <w:rFonts w:ascii="Arial Narrow" w:hAnsi="Arial Narrow"/>
                <w:b/>
              </w:rPr>
            </w:pPr>
          </w:p>
        </w:tc>
      </w:tr>
      <w:tr w:rsidR="00947234" w14:paraId="163B1A2C" w14:textId="77777777" w:rsidTr="00731998">
        <w:tc>
          <w:tcPr>
            <w:tcW w:w="1450" w:type="dxa"/>
            <w:shd w:val="clear" w:color="auto" w:fill="auto"/>
          </w:tcPr>
          <w:p w14:paraId="42AD8900" w14:textId="77777777" w:rsidR="00947234" w:rsidRDefault="00947234" w:rsidP="0034725E">
            <w:pPr>
              <w:jc w:val="center"/>
              <w:rPr>
                <w:b/>
              </w:rPr>
            </w:pPr>
          </w:p>
          <w:p w14:paraId="166D8C69" w14:textId="77777777" w:rsidR="00731998" w:rsidRPr="001777B2" w:rsidRDefault="00731998" w:rsidP="0034725E">
            <w:pPr>
              <w:jc w:val="center"/>
              <w:rPr>
                <w:b/>
              </w:rPr>
            </w:pPr>
          </w:p>
        </w:tc>
        <w:tc>
          <w:tcPr>
            <w:tcW w:w="1556" w:type="dxa"/>
            <w:shd w:val="clear" w:color="auto" w:fill="auto"/>
          </w:tcPr>
          <w:p w14:paraId="03B04F98" w14:textId="33545769" w:rsidR="00947234" w:rsidRDefault="00841DD3" w:rsidP="0034725E">
            <w:pPr>
              <w:jc w:val="center"/>
              <w:rPr>
                <w:b/>
              </w:rPr>
            </w:pPr>
            <w:r>
              <w:rPr>
                <w:b/>
              </w:rPr>
              <w:t>X</w:t>
            </w:r>
          </w:p>
          <w:p w14:paraId="1DEA3D95" w14:textId="77777777" w:rsidR="00731998" w:rsidRPr="001777B2" w:rsidRDefault="00731998" w:rsidP="0034725E">
            <w:pPr>
              <w:jc w:val="center"/>
              <w:rPr>
                <w:b/>
              </w:rPr>
            </w:pPr>
          </w:p>
        </w:tc>
        <w:tc>
          <w:tcPr>
            <w:tcW w:w="1554" w:type="dxa"/>
            <w:shd w:val="clear" w:color="auto" w:fill="auto"/>
          </w:tcPr>
          <w:p w14:paraId="3E493BEB" w14:textId="77777777" w:rsidR="00947234" w:rsidRDefault="00947234" w:rsidP="0034725E">
            <w:pPr>
              <w:jc w:val="center"/>
              <w:rPr>
                <w:b/>
              </w:rPr>
            </w:pPr>
          </w:p>
          <w:p w14:paraId="1A8C8874" w14:textId="77777777" w:rsidR="00731998" w:rsidRPr="001777B2" w:rsidRDefault="00731998" w:rsidP="0034725E">
            <w:pPr>
              <w:jc w:val="center"/>
              <w:rPr>
                <w:b/>
              </w:rPr>
            </w:pPr>
          </w:p>
        </w:tc>
        <w:tc>
          <w:tcPr>
            <w:tcW w:w="2687" w:type="dxa"/>
            <w:shd w:val="clear" w:color="auto" w:fill="auto"/>
          </w:tcPr>
          <w:p w14:paraId="1C5B9B11" w14:textId="2B16AB67" w:rsidR="00731998" w:rsidRPr="00B1769E" w:rsidRDefault="00731998" w:rsidP="00731998">
            <w:pPr>
              <w:jc w:val="center"/>
              <w:rPr>
                <w:b/>
              </w:rPr>
            </w:pPr>
          </w:p>
        </w:tc>
        <w:tc>
          <w:tcPr>
            <w:tcW w:w="2529" w:type="dxa"/>
            <w:shd w:val="clear" w:color="auto" w:fill="auto"/>
          </w:tcPr>
          <w:p w14:paraId="01589540" w14:textId="76656668" w:rsidR="00731998" w:rsidRPr="00B1769E" w:rsidRDefault="00731998" w:rsidP="00731998">
            <w:pPr>
              <w:jc w:val="center"/>
              <w:rPr>
                <w:b/>
              </w:rPr>
            </w:pPr>
          </w:p>
        </w:tc>
        <w:tc>
          <w:tcPr>
            <w:tcW w:w="1853" w:type="dxa"/>
          </w:tcPr>
          <w:p w14:paraId="3E6262F6" w14:textId="517E53E5" w:rsidR="00731998" w:rsidRDefault="00731998" w:rsidP="00731998">
            <w:pPr>
              <w:jc w:val="center"/>
            </w:pPr>
          </w:p>
        </w:tc>
        <w:tc>
          <w:tcPr>
            <w:tcW w:w="2365" w:type="dxa"/>
          </w:tcPr>
          <w:p w14:paraId="5F7B3F5F" w14:textId="3334ACF7" w:rsidR="00731998" w:rsidRDefault="002F27AC" w:rsidP="00731998">
            <w:pPr>
              <w:jc w:val="center"/>
            </w:pPr>
            <w:r>
              <w:t>12</w:t>
            </w:r>
          </w:p>
        </w:tc>
      </w:tr>
      <w:tr w:rsidR="00B1769E" w14:paraId="1EBD95E4" w14:textId="77777777" w:rsidTr="00C76E9F">
        <w:tc>
          <w:tcPr>
            <w:tcW w:w="4560" w:type="dxa"/>
            <w:gridSpan w:val="3"/>
            <w:shd w:val="clear" w:color="auto" w:fill="D0CECE" w:themeFill="background2" w:themeFillShade="E6"/>
          </w:tcPr>
          <w:p w14:paraId="7467CAB8" w14:textId="77777777" w:rsidR="00B1769E" w:rsidRPr="00C76E9F" w:rsidRDefault="00B1769E" w:rsidP="00B1769E">
            <w:pPr>
              <w:rPr>
                <w:rFonts w:ascii="Arial Narrow" w:hAnsi="Arial Narrow"/>
                <w:b/>
                <w:sz w:val="24"/>
              </w:rPr>
            </w:pPr>
            <w:r>
              <w:rPr>
                <w:rFonts w:ascii="Arial Narrow" w:hAnsi="Arial Narrow"/>
                <w:b/>
                <w:sz w:val="24"/>
              </w:rPr>
              <w:t xml:space="preserve">Problemática </w:t>
            </w:r>
          </w:p>
        </w:tc>
        <w:tc>
          <w:tcPr>
            <w:tcW w:w="9434" w:type="dxa"/>
            <w:gridSpan w:val="4"/>
          </w:tcPr>
          <w:p w14:paraId="637BC83C" w14:textId="0B7D07A6" w:rsidR="00B1769E" w:rsidRPr="0035569B" w:rsidRDefault="00C433A5" w:rsidP="00B1769E">
            <w:r>
              <w:t>La falta de herramientas de control que garanticen la preservación, registro y continuidad de las prácticas identificadas en el desarrollo de actividades de la Administración Pública Municipal. Se identifica la necesidad de generar un sistema unificado de información del desempeño de cada área  para la toma de decisiones, lo cual reduce la posibilidad de identificar y reproducir las buenas prácticas, así como detectar a tiempo las intervenciones que no han dado resultado</w:t>
            </w:r>
          </w:p>
        </w:tc>
      </w:tr>
      <w:tr w:rsidR="00B1769E" w14:paraId="1EF4721F" w14:textId="77777777" w:rsidTr="00C76E9F">
        <w:tc>
          <w:tcPr>
            <w:tcW w:w="4560" w:type="dxa"/>
            <w:gridSpan w:val="3"/>
            <w:shd w:val="clear" w:color="auto" w:fill="D0CECE" w:themeFill="background2" w:themeFillShade="E6"/>
          </w:tcPr>
          <w:p w14:paraId="6A2C1B7A" w14:textId="77777777" w:rsidR="00B1769E" w:rsidRPr="00C76E9F" w:rsidRDefault="00B1769E" w:rsidP="00B1769E">
            <w:pPr>
              <w:rPr>
                <w:rFonts w:ascii="Arial Narrow" w:hAnsi="Arial Narrow"/>
                <w:b/>
                <w:sz w:val="24"/>
              </w:rPr>
            </w:pPr>
            <w:r>
              <w:rPr>
                <w:rFonts w:ascii="Arial Narrow" w:hAnsi="Arial Narrow"/>
                <w:b/>
                <w:sz w:val="24"/>
              </w:rPr>
              <w:t>Objetivos</w:t>
            </w:r>
          </w:p>
        </w:tc>
        <w:tc>
          <w:tcPr>
            <w:tcW w:w="9434" w:type="dxa"/>
            <w:gridSpan w:val="4"/>
          </w:tcPr>
          <w:p w14:paraId="76A471D6" w14:textId="77777777" w:rsidR="00B1769E" w:rsidRDefault="00C433A5" w:rsidP="00B1769E">
            <w:r>
              <w:t>Evaluar a cada Dirección y subdirección de la Administración Pública Municipal (APM), para mejorar el desempeño del municipio</w:t>
            </w:r>
            <w:r w:rsidR="00375CBB">
              <w:t xml:space="preserve"> con base en el Plan de Mejora 2020-2021.</w:t>
            </w:r>
          </w:p>
          <w:p w14:paraId="410B7281" w14:textId="77777777" w:rsidR="00375CBB" w:rsidRDefault="00375CBB" w:rsidP="00B1769E">
            <w:r>
              <w:t>Dar seguimiento de las actividades de APM</w:t>
            </w:r>
          </w:p>
          <w:p w14:paraId="35DDF45D" w14:textId="53796DED" w:rsidR="00375CBB" w:rsidRPr="0035569B" w:rsidRDefault="00375CBB" w:rsidP="00B1769E">
            <w:r>
              <w:t>Alimentar los indicadores de desempeño 2020-2021.</w:t>
            </w:r>
          </w:p>
        </w:tc>
      </w:tr>
      <w:tr w:rsidR="00B1769E" w14:paraId="4FAFA876" w14:textId="77777777" w:rsidTr="00C76E9F">
        <w:tc>
          <w:tcPr>
            <w:tcW w:w="4560" w:type="dxa"/>
            <w:gridSpan w:val="3"/>
            <w:shd w:val="clear" w:color="auto" w:fill="D0CECE" w:themeFill="background2" w:themeFillShade="E6"/>
          </w:tcPr>
          <w:p w14:paraId="22CADD0A" w14:textId="77777777" w:rsidR="00B1769E" w:rsidRPr="00C76E9F" w:rsidRDefault="00B1769E" w:rsidP="00B1769E">
            <w:pPr>
              <w:rPr>
                <w:rFonts w:ascii="Arial Narrow" w:hAnsi="Arial Narrow"/>
                <w:b/>
                <w:sz w:val="24"/>
              </w:rPr>
            </w:pPr>
            <w:r w:rsidRPr="00C76E9F">
              <w:rPr>
                <w:rFonts w:ascii="Arial Narrow" w:hAnsi="Arial Narrow"/>
                <w:b/>
                <w:sz w:val="24"/>
              </w:rPr>
              <w:t>Vinculación a</w:t>
            </w:r>
            <w:r>
              <w:rPr>
                <w:rFonts w:ascii="Arial Narrow" w:hAnsi="Arial Narrow"/>
                <w:b/>
                <w:sz w:val="24"/>
              </w:rPr>
              <w:t xml:space="preserve">l PMD </w:t>
            </w:r>
          </w:p>
        </w:tc>
        <w:tc>
          <w:tcPr>
            <w:tcW w:w="9434" w:type="dxa"/>
            <w:gridSpan w:val="4"/>
          </w:tcPr>
          <w:p w14:paraId="2E55E7B4" w14:textId="30A6B6BD" w:rsidR="000E709C" w:rsidRPr="000E709C" w:rsidRDefault="000E709C" w:rsidP="000E709C">
            <w:pPr>
              <w:spacing w:line="269" w:lineRule="auto"/>
              <w:ind w:right="74"/>
              <w:rPr>
                <w:sz w:val="20"/>
              </w:rPr>
            </w:pPr>
            <w:r w:rsidRPr="000E709C">
              <w:rPr>
                <w:sz w:val="20"/>
              </w:rPr>
              <w:t xml:space="preserve">7.6 </w:t>
            </w:r>
            <w:r w:rsidRPr="000E709C">
              <w:rPr>
                <w:sz w:val="20"/>
              </w:rPr>
              <w:tab/>
              <w:t>Planeación, Monitoreo y Evaluación para mejorar la acción pública.</w:t>
            </w:r>
          </w:p>
          <w:p w14:paraId="075B2BE5" w14:textId="06BD3C0B" w:rsidR="002F27AC" w:rsidRPr="0035569B" w:rsidRDefault="000E709C" w:rsidP="000E709C">
            <w:pPr>
              <w:spacing w:line="269" w:lineRule="auto"/>
              <w:ind w:right="74"/>
            </w:pPr>
            <w:r>
              <w:rPr>
                <w:sz w:val="20"/>
              </w:rPr>
              <w:t xml:space="preserve">7.6.1 Desarrollar e implementar el sistema evaluación del desempeño institucional para el gobierno municipal, utilizando indicadores cuantitativos y cualitativos que permitan apreciar de forma integral los resultados de la gestión municipal. </w:t>
            </w:r>
          </w:p>
        </w:tc>
      </w:tr>
      <w:tr w:rsidR="00B1769E" w14:paraId="13459A84" w14:textId="77777777" w:rsidTr="00E808A6">
        <w:tc>
          <w:tcPr>
            <w:tcW w:w="4560" w:type="dxa"/>
            <w:gridSpan w:val="3"/>
            <w:shd w:val="clear" w:color="auto" w:fill="BFBFBF" w:themeFill="background1" w:themeFillShade="BF"/>
          </w:tcPr>
          <w:p w14:paraId="20DEA085" w14:textId="77777777" w:rsidR="00B1769E" w:rsidRDefault="00B1769E" w:rsidP="00B1769E">
            <w:pPr>
              <w:jc w:val="center"/>
              <w:rPr>
                <w:b/>
              </w:rPr>
            </w:pPr>
          </w:p>
          <w:p w14:paraId="17C0C624" w14:textId="77777777" w:rsidR="00B1769E" w:rsidRPr="00CE4CAD" w:rsidRDefault="00B1769E" w:rsidP="00B1769E">
            <w:pPr>
              <w:jc w:val="center"/>
              <w:rPr>
                <w:b/>
              </w:rPr>
            </w:pPr>
            <w:r w:rsidRPr="00CE4CAD">
              <w:rPr>
                <w:b/>
              </w:rPr>
              <w:t xml:space="preserve">Nombre del Indicador </w:t>
            </w:r>
          </w:p>
          <w:p w14:paraId="597E12EA" w14:textId="77777777" w:rsidR="00B1769E" w:rsidRPr="001324C2" w:rsidRDefault="00B1769E" w:rsidP="00B1769E">
            <w:pPr>
              <w:jc w:val="center"/>
              <w:rPr>
                <w:b/>
              </w:rPr>
            </w:pPr>
          </w:p>
        </w:tc>
        <w:tc>
          <w:tcPr>
            <w:tcW w:w="5216" w:type="dxa"/>
            <w:gridSpan w:val="2"/>
            <w:shd w:val="clear" w:color="auto" w:fill="BFBFBF" w:themeFill="background1" w:themeFillShade="BF"/>
          </w:tcPr>
          <w:p w14:paraId="54A891EB" w14:textId="77777777" w:rsidR="00B1769E" w:rsidRDefault="00B1769E" w:rsidP="00B1769E">
            <w:pPr>
              <w:jc w:val="center"/>
              <w:rPr>
                <w:b/>
              </w:rPr>
            </w:pPr>
            <w:r w:rsidRPr="001324C2">
              <w:rPr>
                <w:b/>
              </w:rPr>
              <w:t>Unidad de medida</w:t>
            </w:r>
          </w:p>
          <w:p w14:paraId="61F2C853" w14:textId="77777777" w:rsidR="00B1769E" w:rsidRDefault="00B1769E" w:rsidP="00B1769E">
            <w:pPr>
              <w:jc w:val="center"/>
            </w:pPr>
            <w:r>
              <w:rPr>
                <w:b/>
              </w:rPr>
              <w:t>del producto generado o acción realizada</w:t>
            </w:r>
          </w:p>
        </w:tc>
        <w:tc>
          <w:tcPr>
            <w:tcW w:w="4218" w:type="dxa"/>
            <w:gridSpan w:val="2"/>
            <w:shd w:val="clear" w:color="auto" w:fill="F4B083" w:themeFill="accent2" w:themeFillTint="99"/>
          </w:tcPr>
          <w:p w14:paraId="39FBFDD5" w14:textId="77777777" w:rsidR="00B1769E" w:rsidRPr="001324C2" w:rsidRDefault="00B1769E" w:rsidP="00B1769E">
            <w:pPr>
              <w:jc w:val="center"/>
              <w:rPr>
                <w:b/>
              </w:rPr>
            </w:pPr>
            <w:r w:rsidRPr="001324C2">
              <w:rPr>
                <w:b/>
              </w:rPr>
              <w:t>Meta programada</w:t>
            </w:r>
            <w:r>
              <w:rPr>
                <w:b/>
              </w:rPr>
              <w:t xml:space="preserve"> para el final del periodo</w:t>
            </w:r>
          </w:p>
        </w:tc>
      </w:tr>
      <w:tr w:rsidR="00B1769E" w14:paraId="6293833D" w14:textId="77777777" w:rsidTr="00E808A6">
        <w:tc>
          <w:tcPr>
            <w:tcW w:w="4560" w:type="dxa"/>
            <w:gridSpan w:val="3"/>
            <w:shd w:val="clear" w:color="auto" w:fill="auto"/>
          </w:tcPr>
          <w:p w14:paraId="7B66FD83" w14:textId="24B51B22" w:rsidR="00B1769E" w:rsidRPr="00375CBB" w:rsidRDefault="00375CBB" w:rsidP="000E709C">
            <w:pPr>
              <w:jc w:val="center"/>
              <w:rPr>
                <w:rFonts w:ascii="Arial Narrow" w:hAnsi="Arial Narrow"/>
                <w:b/>
                <w:color w:val="000000" w:themeColor="text1"/>
                <w:sz w:val="24"/>
              </w:rPr>
            </w:pPr>
            <w:r w:rsidRPr="00375CBB">
              <w:rPr>
                <w:color w:val="000000" w:themeColor="text1"/>
              </w:rPr>
              <w:t>Porcentaje de Dependencias que mejoraron de Grado de Desarrollo Institucional respecto a 2020 de la Administración Pública Municipal Centralizada y Descentralizada monitoreadas y evaluadas.</w:t>
            </w:r>
            <w:bookmarkStart w:id="0" w:name="_GoBack"/>
            <w:bookmarkEnd w:id="0"/>
          </w:p>
        </w:tc>
        <w:tc>
          <w:tcPr>
            <w:tcW w:w="5216" w:type="dxa"/>
            <w:gridSpan w:val="2"/>
          </w:tcPr>
          <w:p w14:paraId="324A2E8D" w14:textId="6220FB35" w:rsidR="00375CBB" w:rsidRPr="00375CBB" w:rsidRDefault="00375CBB" w:rsidP="00375CBB">
            <w:pPr>
              <w:jc w:val="center"/>
              <w:rPr>
                <w:rFonts w:ascii="Calibri" w:hAnsi="Calibri" w:cs="Calibri"/>
                <w:color w:val="000000" w:themeColor="text1"/>
              </w:rPr>
            </w:pPr>
            <w:r w:rsidRPr="00375CBB">
              <w:rPr>
                <w:rFonts w:ascii="Calibri" w:hAnsi="Calibri" w:cs="Calibri"/>
                <w:color w:val="000000" w:themeColor="text1"/>
              </w:rPr>
              <w:t>Porcentaje de áreas que mejoraron su GDI respecto al resultado de 2020.</w:t>
            </w:r>
          </w:p>
          <w:p w14:paraId="62E8AB24" w14:textId="77777777" w:rsidR="00375CBB" w:rsidRPr="00375CBB" w:rsidRDefault="00375CBB" w:rsidP="00375CBB">
            <w:pPr>
              <w:jc w:val="center"/>
              <w:rPr>
                <w:rFonts w:ascii="Calibri" w:hAnsi="Calibri" w:cs="Calibri"/>
                <w:color w:val="000000" w:themeColor="text1"/>
              </w:rPr>
            </w:pPr>
          </w:p>
          <w:p w14:paraId="3918901D" w14:textId="49C09CBD" w:rsidR="00B1769E" w:rsidRPr="00375CBB" w:rsidRDefault="00B1769E" w:rsidP="00B1769E">
            <w:pPr>
              <w:jc w:val="center"/>
              <w:rPr>
                <w:rFonts w:ascii="Calibri" w:hAnsi="Calibri" w:cs="Calibri"/>
                <w:color w:val="000000" w:themeColor="text1"/>
              </w:rPr>
            </w:pPr>
          </w:p>
        </w:tc>
        <w:tc>
          <w:tcPr>
            <w:tcW w:w="4218" w:type="dxa"/>
            <w:gridSpan w:val="2"/>
          </w:tcPr>
          <w:p w14:paraId="7E5D7662" w14:textId="33D446CB" w:rsidR="00B1769E" w:rsidRPr="00375CBB" w:rsidRDefault="00375CBB" w:rsidP="00B1769E">
            <w:pPr>
              <w:jc w:val="center"/>
              <w:rPr>
                <w:rFonts w:ascii="Calibri" w:hAnsi="Calibri" w:cs="Calibri"/>
                <w:color w:val="000000" w:themeColor="text1"/>
              </w:rPr>
            </w:pPr>
            <w:r w:rsidRPr="00375CBB">
              <w:rPr>
                <w:color w:val="000000" w:themeColor="text1"/>
              </w:rPr>
              <w:t>60% de Dependencias</w:t>
            </w:r>
          </w:p>
        </w:tc>
      </w:tr>
    </w:tbl>
    <w:p w14:paraId="501E9BE4" w14:textId="77777777" w:rsidR="00AB2661" w:rsidRDefault="00AB2661"/>
    <w:p w14:paraId="414F66C6" w14:textId="77777777" w:rsidR="00AB2661" w:rsidRDefault="00763DC6" w:rsidP="00AB2661">
      <w:pPr>
        <w:pStyle w:val="Piedepgina"/>
        <w:tabs>
          <w:tab w:val="clear" w:pos="4252"/>
          <w:tab w:val="clear" w:pos="8504"/>
          <w:tab w:val="left" w:pos="9562"/>
        </w:tabs>
      </w:pPr>
      <w:r>
        <w:rPr>
          <w:b/>
          <w:sz w:val="24"/>
          <w:szCs w:val="24"/>
        </w:rPr>
        <w:lastRenderedPageBreak/>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1E2697D1"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499AF741" wp14:editId="590C59A5">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49D7F166" wp14:editId="7C54A374">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492B4" w14:textId="77777777" w:rsidR="00504B9C" w:rsidRDefault="00504B9C" w:rsidP="0034725E">
      <w:pPr>
        <w:spacing w:after="0" w:line="240" w:lineRule="auto"/>
      </w:pPr>
      <w:r>
        <w:separator/>
      </w:r>
    </w:p>
  </w:endnote>
  <w:endnote w:type="continuationSeparator" w:id="0">
    <w:p w14:paraId="5466CBB6" w14:textId="77777777" w:rsidR="00504B9C" w:rsidRDefault="00504B9C"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A322A" w14:textId="77777777" w:rsidR="00504B9C" w:rsidRDefault="00504B9C" w:rsidP="0034725E">
      <w:pPr>
        <w:spacing w:after="0" w:line="240" w:lineRule="auto"/>
      </w:pPr>
      <w:r>
        <w:separator/>
      </w:r>
    </w:p>
  </w:footnote>
  <w:footnote w:type="continuationSeparator" w:id="0">
    <w:p w14:paraId="26416E58" w14:textId="77777777" w:rsidR="00504B9C" w:rsidRDefault="00504B9C"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96FF1"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5470CB8D" wp14:editId="063DD56A">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3E685AA6"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E709C"/>
    <w:rsid w:val="00130710"/>
    <w:rsid w:val="001777B2"/>
    <w:rsid w:val="00293691"/>
    <w:rsid w:val="002F27AC"/>
    <w:rsid w:val="0034725E"/>
    <w:rsid w:val="0035569B"/>
    <w:rsid w:val="00375CBB"/>
    <w:rsid w:val="00390884"/>
    <w:rsid w:val="003C6333"/>
    <w:rsid w:val="003E0A96"/>
    <w:rsid w:val="003F5755"/>
    <w:rsid w:val="00440617"/>
    <w:rsid w:val="004C4E1A"/>
    <w:rsid w:val="00504B9C"/>
    <w:rsid w:val="005C396B"/>
    <w:rsid w:val="00642489"/>
    <w:rsid w:val="00685B58"/>
    <w:rsid w:val="00731998"/>
    <w:rsid w:val="00763DC6"/>
    <w:rsid w:val="00765AB3"/>
    <w:rsid w:val="007F7C8B"/>
    <w:rsid w:val="00841DD3"/>
    <w:rsid w:val="00880669"/>
    <w:rsid w:val="00884657"/>
    <w:rsid w:val="0089213A"/>
    <w:rsid w:val="008C15B9"/>
    <w:rsid w:val="008D58F7"/>
    <w:rsid w:val="008E310A"/>
    <w:rsid w:val="009306FD"/>
    <w:rsid w:val="00947234"/>
    <w:rsid w:val="009650B5"/>
    <w:rsid w:val="00970FDC"/>
    <w:rsid w:val="009A2C5D"/>
    <w:rsid w:val="00A0316B"/>
    <w:rsid w:val="00A207F0"/>
    <w:rsid w:val="00AB2661"/>
    <w:rsid w:val="00B00210"/>
    <w:rsid w:val="00B1769E"/>
    <w:rsid w:val="00B46CC0"/>
    <w:rsid w:val="00C433A5"/>
    <w:rsid w:val="00C76E9F"/>
    <w:rsid w:val="00CD3ECE"/>
    <w:rsid w:val="00CD629B"/>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FE6D88"/>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3085">
      <w:bodyDiv w:val="1"/>
      <w:marLeft w:val="0"/>
      <w:marRight w:val="0"/>
      <w:marTop w:val="0"/>
      <w:marBottom w:val="0"/>
      <w:divBdr>
        <w:top w:val="none" w:sz="0" w:space="0" w:color="auto"/>
        <w:left w:val="none" w:sz="0" w:space="0" w:color="auto"/>
        <w:bottom w:val="none" w:sz="0" w:space="0" w:color="auto"/>
        <w:right w:val="none" w:sz="0" w:space="0" w:color="auto"/>
      </w:divBdr>
    </w:div>
    <w:div w:id="154614522">
      <w:bodyDiv w:val="1"/>
      <w:marLeft w:val="0"/>
      <w:marRight w:val="0"/>
      <w:marTop w:val="0"/>
      <w:marBottom w:val="0"/>
      <w:divBdr>
        <w:top w:val="none" w:sz="0" w:space="0" w:color="auto"/>
        <w:left w:val="none" w:sz="0" w:space="0" w:color="auto"/>
        <w:bottom w:val="none" w:sz="0" w:space="0" w:color="auto"/>
        <w:right w:val="none" w:sz="0" w:space="0" w:color="auto"/>
      </w:divBdr>
    </w:div>
    <w:div w:id="623082090">
      <w:bodyDiv w:val="1"/>
      <w:marLeft w:val="0"/>
      <w:marRight w:val="0"/>
      <w:marTop w:val="0"/>
      <w:marBottom w:val="0"/>
      <w:divBdr>
        <w:top w:val="none" w:sz="0" w:space="0" w:color="auto"/>
        <w:left w:val="none" w:sz="0" w:space="0" w:color="auto"/>
        <w:bottom w:val="none" w:sz="0" w:space="0" w:color="auto"/>
        <w:right w:val="none" w:sz="0" w:space="0" w:color="auto"/>
      </w:divBdr>
    </w:div>
    <w:div w:id="1254440494">
      <w:bodyDiv w:val="1"/>
      <w:marLeft w:val="0"/>
      <w:marRight w:val="0"/>
      <w:marTop w:val="0"/>
      <w:marBottom w:val="0"/>
      <w:divBdr>
        <w:top w:val="none" w:sz="0" w:space="0" w:color="auto"/>
        <w:left w:val="none" w:sz="0" w:space="0" w:color="auto"/>
        <w:bottom w:val="none" w:sz="0" w:space="0" w:color="auto"/>
        <w:right w:val="none" w:sz="0" w:space="0" w:color="auto"/>
      </w:divBdr>
    </w:div>
    <w:div w:id="1384867127">
      <w:bodyDiv w:val="1"/>
      <w:marLeft w:val="0"/>
      <w:marRight w:val="0"/>
      <w:marTop w:val="0"/>
      <w:marBottom w:val="0"/>
      <w:divBdr>
        <w:top w:val="none" w:sz="0" w:space="0" w:color="auto"/>
        <w:left w:val="none" w:sz="0" w:space="0" w:color="auto"/>
        <w:bottom w:val="none" w:sz="0" w:space="0" w:color="auto"/>
        <w:right w:val="none" w:sz="0" w:space="0" w:color="auto"/>
      </w:divBdr>
    </w:div>
    <w:div w:id="172198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47BF3-A410-460D-BDAB-A9DC16C0F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1591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3</cp:revision>
  <cp:lastPrinted>2019-09-11T20:03:00Z</cp:lastPrinted>
  <dcterms:created xsi:type="dcterms:W3CDTF">2020-11-03T18:58:00Z</dcterms:created>
  <dcterms:modified xsi:type="dcterms:W3CDTF">2020-11-03T21:05:00Z</dcterms:modified>
</cp:coreProperties>
</file>