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449"/>
        <w:gridCol w:w="1418"/>
        <w:gridCol w:w="2462"/>
        <w:gridCol w:w="2356"/>
        <w:gridCol w:w="1801"/>
        <w:gridCol w:w="2071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1FFED64" w:rsidR="009A2C5D" w:rsidRDefault="007C6A4F">
            <w:r>
              <w:rPr>
                <w:rFonts w:ascii="Arial" w:hAnsi="Arial" w:cs="Arial"/>
              </w:rPr>
              <w:t xml:space="preserve">Dirección </w:t>
            </w:r>
            <w:r w:rsidR="00317D0A">
              <w:rPr>
                <w:rFonts w:ascii="Arial" w:hAnsi="Arial" w:cs="Arial"/>
              </w:rPr>
              <w:t>Administrativa</w:t>
            </w:r>
            <w:r>
              <w:rPr>
                <w:rFonts w:ascii="Arial" w:hAnsi="Arial" w:cs="Arial"/>
              </w:rPr>
              <w:t xml:space="preserve"> de la </w:t>
            </w:r>
            <w:r w:rsidR="006120F4" w:rsidRPr="006D004C">
              <w:rPr>
                <w:rFonts w:ascii="Arial" w:hAnsi="Arial" w:cs="Arial"/>
              </w:rPr>
              <w:t>Coordinación General de Protección Civil y Bomberos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2F29B25" w:rsidR="009A2C5D" w:rsidRPr="002619AB" w:rsidRDefault="00ED628F" w:rsidP="00ED62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Equipamiento del Centro Municipal de Prevención y Reacción de Desastres Zona Sur (Santa Anita).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0E83177D" w:rsidR="00731998" w:rsidRPr="001777B2" w:rsidRDefault="006120F4" w:rsidP="0034725E">
            <w:pPr>
              <w:jc w:val="center"/>
              <w:rPr>
                <w:b/>
              </w:rPr>
            </w:pPr>
            <w:r w:rsidRPr="006120F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54C0D356" w:rsidR="00731998" w:rsidRDefault="00D4746E" w:rsidP="00731998">
            <w:pPr>
              <w:jc w:val="center"/>
            </w:pPr>
            <w:r w:rsidRPr="006120F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4BF37570" w:rsidR="00731998" w:rsidRPr="00A37A34" w:rsidRDefault="007302A9" w:rsidP="00731998">
            <w:pPr>
              <w:jc w:val="center"/>
              <w:rPr>
                <w:b/>
                <w:bCs/>
              </w:rPr>
            </w:pPr>
            <w:r w:rsidRPr="00721CE8">
              <w:rPr>
                <w:b/>
                <w:bCs/>
                <w:highlight w:val="yellow"/>
              </w:rPr>
              <w:t xml:space="preserve">$ </w:t>
            </w:r>
            <w:r w:rsidR="00ED628F" w:rsidRPr="00721CE8">
              <w:rPr>
                <w:b/>
                <w:bCs/>
                <w:highlight w:val="yellow"/>
              </w:rPr>
              <w:t>7’7</w:t>
            </w:r>
            <w:r w:rsidRPr="00721CE8">
              <w:rPr>
                <w:b/>
                <w:bCs/>
                <w:highlight w:val="yellow"/>
              </w:rPr>
              <w:t>00,000.00</w:t>
            </w:r>
            <w:r w:rsidR="00ED628F">
              <w:rPr>
                <w:b/>
                <w:bCs/>
              </w:rPr>
              <w:t xml:space="preserve"> Construcción; </w:t>
            </w:r>
            <w:r w:rsidR="00ED628F" w:rsidRPr="00ED628F">
              <w:rPr>
                <w:b/>
                <w:bCs/>
              </w:rPr>
              <w:t>$23'141,408.70</w:t>
            </w:r>
            <w:r w:rsidR="00ED628F">
              <w:rPr>
                <w:b/>
                <w:bCs/>
              </w:rPr>
              <w:t xml:space="preserve"> Equipamiento</w:t>
            </w:r>
          </w:p>
        </w:tc>
        <w:tc>
          <w:tcPr>
            <w:tcW w:w="2365" w:type="dxa"/>
          </w:tcPr>
          <w:p w14:paraId="05F11E17" w14:textId="53C7EE25" w:rsidR="00731998" w:rsidRDefault="00D4746E" w:rsidP="00731998">
            <w:pPr>
              <w:jc w:val="center"/>
            </w:pPr>
            <w:r>
              <w:t>12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53BF833" w14:textId="50E5010D" w:rsidR="00C74852" w:rsidRDefault="00E87236" w:rsidP="00997047">
            <w:pPr>
              <w:jc w:val="both"/>
              <w:rPr>
                <w:rFonts w:ascii="Arial" w:hAnsi="Arial" w:cs="Arial"/>
              </w:rPr>
            </w:pPr>
            <w:r w:rsidRPr="000A2C25">
              <w:rPr>
                <w:rFonts w:ascii="Arial" w:hAnsi="Arial" w:cs="Arial"/>
              </w:rPr>
              <w:t xml:space="preserve">La carencia de un Centro Municipal de Prevención y Reacción de Desastres en la Zona Sur, toda vez que en la Zona Sur del municipio es el área geográfica en constante crecimiento poblacional, industrial y comercial, derivado de la sobresaturación de la zona metropolitana de Guadalajara, habiendo </w:t>
            </w:r>
            <w:r>
              <w:rPr>
                <w:rFonts w:ascii="Arial" w:hAnsi="Arial" w:cs="Arial"/>
              </w:rPr>
              <w:t xml:space="preserve">en </w:t>
            </w:r>
            <w:r w:rsidRPr="000A2C25">
              <w:rPr>
                <w:rFonts w:ascii="Arial" w:hAnsi="Arial" w:cs="Arial"/>
              </w:rPr>
              <w:t xml:space="preserve">la Zona Sur una área de oportunidad para grandes desarrollos habitacionales en colindancia con el municipio de Tlajomulco de Zúñiga; derivado de estas problemáticas se hace necesaria la Construcción del Centro Municipal de Prevención y Reacción de Desastres </w:t>
            </w:r>
            <w:r>
              <w:rPr>
                <w:rFonts w:ascii="Arial" w:hAnsi="Arial" w:cs="Arial"/>
              </w:rPr>
              <w:t xml:space="preserve">en la </w:t>
            </w:r>
            <w:r w:rsidRPr="000A2C25">
              <w:rPr>
                <w:rFonts w:ascii="Arial" w:hAnsi="Arial" w:cs="Arial"/>
              </w:rPr>
              <w:t>Zona Sur.</w:t>
            </w:r>
          </w:p>
          <w:p w14:paraId="7C662AAF" w14:textId="77777777" w:rsidR="00DE1A62" w:rsidRDefault="00DE1A62" w:rsidP="00997047">
            <w:pPr>
              <w:jc w:val="both"/>
              <w:rPr>
                <w:rFonts w:ascii="Arial" w:hAnsi="Arial" w:cs="Arial"/>
              </w:rPr>
            </w:pPr>
          </w:p>
          <w:p w14:paraId="59A6ABE1" w14:textId="522333BB" w:rsidR="00DE1A62" w:rsidRPr="0035569B" w:rsidRDefault="00DE1A62" w:rsidP="00997047">
            <w:pPr>
              <w:jc w:val="both"/>
            </w:pPr>
            <w:r w:rsidRPr="00DE1A62">
              <w:rPr>
                <w:rFonts w:ascii="Arial" w:hAnsi="Arial" w:cs="Arial"/>
              </w:rPr>
              <w:t>Por esta razón se proyecta el Equipamiento del Centro Municipal de Prevención y Reacción de Desastres en la Zon</w:t>
            </w:r>
            <w:r>
              <w:rPr>
                <w:rFonts w:ascii="Arial" w:hAnsi="Arial" w:cs="Arial"/>
              </w:rPr>
              <w:t>a</w:t>
            </w:r>
            <w:r w:rsidRPr="00DE1A62">
              <w:rPr>
                <w:rFonts w:ascii="Arial" w:hAnsi="Arial" w:cs="Arial"/>
              </w:rPr>
              <w:t xml:space="preserve"> Sur, con capacidad para albergar a 33 treinta y tres Técnicos y Especialistas en Gestión Integral del Riesgo.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6D9AE905" w14:textId="77777777" w:rsidR="00765AB3" w:rsidRDefault="00C65066" w:rsidP="00181609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C65066">
              <w:rPr>
                <w:rFonts w:ascii="Arial" w:hAnsi="Arial" w:cs="Arial"/>
                <w:bCs/>
                <w:szCs w:val="24"/>
              </w:rPr>
              <w:t xml:space="preserve">Construir </w:t>
            </w:r>
            <w:r w:rsidR="00FA50F9">
              <w:rPr>
                <w:rFonts w:ascii="Arial" w:hAnsi="Arial" w:cs="Arial"/>
                <w:bCs/>
                <w:szCs w:val="24"/>
              </w:rPr>
              <w:t xml:space="preserve">y equipar el </w:t>
            </w:r>
            <w:r w:rsidRPr="00C65066">
              <w:rPr>
                <w:rFonts w:ascii="Arial" w:hAnsi="Arial" w:cs="Arial"/>
                <w:bCs/>
                <w:szCs w:val="24"/>
              </w:rPr>
              <w:t>Centro Municipal de Prevención y Reacción de Desastres en Zona Sur (Santa Anita), a fin de que los oficiales de protección civil y gestores del riesgo realicen sus labores y funciones en base a las responsabilidades que marca la ley en materia de protección civil, así como para brindar un mejor servicio en la prevención y reacción a las emergencias que demande la ciudadanía y visitantes de San Pedro Tlaquepaque, salvaguardando la vida de las personas, sus bienes y el entorno, beneficiando a los tres sectores de la sociedad.</w:t>
            </w:r>
          </w:p>
          <w:p w14:paraId="3AC27EB4" w14:textId="77777777" w:rsidR="001F3340" w:rsidRDefault="001F3340" w:rsidP="00181609">
            <w:pPr>
              <w:jc w:val="both"/>
              <w:rPr>
                <w:bCs/>
                <w:szCs w:val="24"/>
              </w:rPr>
            </w:pPr>
          </w:p>
          <w:p w14:paraId="1F684263" w14:textId="3069FB39" w:rsidR="001F3340" w:rsidRPr="0035569B" w:rsidRDefault="001F3340" w:rsidP="00181609">
            <w:pPr>
              <w:jc w:val="both"/>
            </w:pPr>
            <w:r w:rsidRPr="001F3340">
              <w:rPr>
                <w:rFonts w:ascii="Arial" w:hAnsi="Arial" w:cs="Arial"/>
                <w:bCs/>
                <w:szCs w:val="24"/>
              </w:rPr>
              <w:t xml:space="preserve">Adquirir vehículos, herramientas y equipamiento especializado para cumplir y ejecutar las funciones y actividades que los oficiales de protección civil y gestores del riesgo tienen como responsabilidad en el marco legal en materia de protección civil, así como </w:t>
            </w:r>
            <w:r w:rsidRPr="001F3340">
              <w:rPr>
                <w:rFonts w:ascii="Arial" w:hAnsi="Arial" w:cs="Arial"/>
                <w:bCs/>
                <w:szCs w:val="24"/>
              </w:rPr>
              <w:lastRenderedPageBreak/>
              <w:t>para brindar un mejor servicio en la prevención y reacción a las emergencias que demande la ciudadanía y visitantes de San Pedro Tlaquepaque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lastRenderedPageBreak/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658467C4" w14:textId="494C2AFA" w:rsidR="00E808A6" w:rsidRPr="006817D1" w:rsidRDefault="00AA34D4" w:rsidP="00AD18FB">
            <w:pPr>
              <w:jc w:val="both"/>
              <w:rPr>
                <w:rFonts w:ascii="Arial" w:hAnsi="Arial" w:cs="Arial"/>
                <w:b/>
                <w:bCs/>
              </w:rPr>
            </w:pPr>
            <w:r w:rsidRPr="006817D1">
              <w:rPr>
                <w:rFonts w:ascii="Arial" w:hAnsi="Arial" w:cs="Arial"/>
                <w:b/>
                <w:bCs/>
              </w:rPr>
              <w:t>5.2. Protección de la vida de las personas, sus bienes y su entorno</w:t>
            </w:r>
            <w:r w:rsidR="005D4C71" w:rsidRPr="006817D1">
              <w:rPr>
                <w:rFonts w:ascii="Arial" w:hAnsi="Arial" w:cs="Arial"/>
                <w:b/>
                <w:bCs/>
              </w:rPr>
              <w:t>.</w:t>
            </w:r>
          </w:p>
          <w:p w14:paraId="7492445E" w14:textId="77777777" w:rsidR="006817D1" w:rsidRDefault="006817D1" w:rsidP="00AD18FB">
            <w:pPr>
              <w:jc w:val="both"/>
              <w:rPr>
                <w:rFonts w:ascii="Arial" w:hAnsi="Arial" w:cs="Arial"/>
              </w:rPr>
            </w:pPr>
          </w:p>
          <w:p w14:paraId="7AECD688" w14:textId="77777777" w:rsidR="006817D1" w:rsidRDefault="006817D1" w:rsidP="006817D1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14:paraId="4A37CC39" w14:textId="77777777" w:rsidR="00024BC2" w:rsidRDefault="00024BC2" w:rsidP="00AD18FB">
            <w:pPr>
              <w:jc w:val="both"/>
              <w:rPr>
                <w:rFonts w:ascii="Arial" w:hAnsi="Arial" w:cs="Arial"/>
              </w:rPr>
            </w:pPr>
          </w:p>
          <w:p w14:paraId="7FC27F1B" w14:textId="5AFD8081" w:rsidR="00AA34D4" w:rsidRDefault="00AA34D4" w:rsidP="00AD18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económico del municipio</w:t>
            </w:r>
            <w:r w:rsidR="005D4C71">
              <w:rPr>
                <w:rFonts w:ascii="Arial" w:hAnsi="Arial" w:cs="Arial"/>
              </w:rPr>
              <w:t>.</w:t>
            </w:r>
          </w:p>
          <w:p w14:paraId="202EDB76" w14:textId="77777777" w:rsidR="000C0441" w:rsidRDefault="000C0441" w:rsidP="00AD18FB">
            <w:pPr>
              <w:jc w:val="both"/>
              <w:rPr>
                <w:rFonts w:ascii="Arial" w:hAnsi="Arial" w:cs="Arial"/>
              </w:rPr>
            </w:pPr>
          </w:p>
          <w:p w14:paraId="21A63A15" w14:textId="0B3E8307" w:rsidR="000C0441" w:rsidRPr="00AA34D4" w:rsidRDefault="000F3216" w:rsidP="00AD18FB">
            <w:pPr>
              <w:jc w:val="both"/>
              <w:rPr>
                <w:rFonts w:ascii="Arial" w:hAnsi="Arial" w:cs="Arial"/>
              </w:rPr>
            </w:pPr>
            <w:r w:rsidRPr="00721CE8">
              <w:rPr>
                <w:rFonts w:ascii="Arial" w:hAnsi="Arial" w:cs="Arial"/>
                <w:highlight w:val="yellow"/>
              </w:rPr>
              <w:t>5.2.6. Atención y respuesta a emergencias ordinarias, naturales, hidrometeorológicas y antropogénicas.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B91E86A" w14:textId="77777777" w:rsidR="00CD19E4" w:rsidRPr="00721CE8" w:rsidRDefault="00755BCC" w:rsidP="00BD0E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highlight w:val="yellow"/>
                <w:lang w:val="es-ES" w:eastAsia="en-US"/>
              </w:rPr>
            </w:pPr>
            <w:r w:rsidRPr="00721CE8">
              <w:rPr>
                <w:rFonts w:ascii="Arial" w:eastAsiaTheme="minorHAnsi" w:hAnsi="Arial" w:cs="Arial"/>
                <w:highlight w:val="yellow"/>
                <w:lang w:val="es-ES" w:eastAsia="en-US"/>
              </w:rPr>
              <w:t>Actualización y Seguimiento del Proyecto Ejecutivo.</w:t>
            </w:r>
          </w:p>
          <w:p w14:paraId="17F223EE" w14:textId="77777777" w:rsidR="00CC6F13" w:rsidRDefault="00CC6F13" w:rsidP="00CC6F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755BCC">
              <w:rPr>
                <w:rFonts w:ascii="Arial" w:eastAsiaTheme="minorHAnsi" w:hAnsi="Arial" w:cs="Arial"/>
                <w:lang w:val="es-ES" w:eastAsia="en-US"/>
              </w:rPr>
              <w:t>Autorización del Proyecto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30FBDD8F" w14:textId="77777777" w:rsidR="00755BCC" w:rsidRDefault="00755BCC" w:rsidP="00BD0E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755BCC">
              <w:rPr>
                <w:rFonts w:ascii="Arial" w:eastAsiaTheme="minorHAnsi" w:hAnsi="Arial" w:cs="Arial"/>
                <w:lang w:val="es-ES" w:eastAsia="en-US"/>
              </w:rPr>
              <w:t>Gestión de los recursos (Gestión del Proyecto Ejecutivo)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6F8216D8" w14:textId="6DC9D918" w:rsidR="00755BCC" w:rsidRDefault="00755BCC" w:rsidP="00BD0E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755BCC">
              <w:rPr>
                <w:rFonts w:ascii="Arial" w:eastAsiaTheme="minorHAnsi" w:hAnsi="Arial" w:cs="Arial"/>
                <w:lang w:val="es-ES" w:eastAsia="en-US"/>
              </w:rPr>
              <w:t>Gestión de la Nomenclatura</w:t>
            </w:r>
            <w:r w:rsidR="00DE1A62"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65F743F4" w14:textId="77777777" w:rsidR="00755BCC" w:rsidRDefault="00755BCC" w:rsidP="00BD0E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755BCC">
              <w:rPr>
                <w:rFonts w:ascii="Arial" w:eastAsiaTheme="minorHAnsi" w:hAnsi="Arial" w:cs="Arial"/>
                <w:lang w:val="es-ES" w:eastAsia="en-US"/>
              </w:rPr>
              <w:t>Construcción del Centro Municipal de Prevención y reacción de desastres Zona Sur (Santa Anita) (Ejercer el Recurso)</w:t>
            </w:r>
            <w:r w:rsidR="00DE1A62"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49860FCD" w14:textId="77777777" w:rsidR="00DE1A62" w:rsidRDefault="00104EDD" w:rsidP="00BD0E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104EDD">
              <w:rPr>
                <w:rFonts w:ascii="Arial" w:eastAsiaTheme="minorHAnsi" w:hAnsi="Arial" w:cs="Arial"/>
                <w:lang w:val="es-ES" w:eastAsia="en-US"/>
              </w:rPr>
              <w:t>Gestión para el Equipamiento del Centro Municipal de Prevención y Reacción de Desastres Zona Sur (Santa Anita)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0C1313F1" w14:textId="77777777" w:rsidR="00104EDD" w:rsidRDefault="00104EDD" w:rsidP="00BD0E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104EDD">
              <w:rPr>
                <w:rFonts w:ascii="Arial" w:eastAsiaTheme="minorHAnsi" w:hAnsi="Arial" w:cs="Arial"/>
                <w:lang w:val="es-ES" w:eastAsia="en-US"/>
              </w:rPr>
              <w:t>Autorización del Proyecto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01988200" w14:textId="0A61D376" w:rsidR="00D80584" w:rsidRPr="000704AD" w:rsidRDefault="00D80584" w:rsidP="00BD0E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lang w:val="es-ES" w:eastAsia="en-US"/>
              </w:rPr>
              <w:t>Equipamiento del CMPRD Zona Sur.</w:t>
            </w:r>
          </w:p>
        </w:tc>
        <w:tc>
          <w:tcPr>
            <w:tcW w:w="5216" w:type="dxa"/>
            <w:gridSpan w:val="2"/>
          </w:tcPr>
          <w:p w14:paraId="3D58A91E" w14:textId="77777777" w:rsidR="00284ED1" w:rsidRPr="00721CE8" w:rsidRDefault="00B26BD9" w:rsidP="00B26BD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bCs/>
                <w:highlight w:val="yellow"/>
              </w:rPr>
            </w:pPr>
            <w:r w:rsidRPr="00721CE8">
              <w:rPr>
                <w:rFonts w:ascii="Arial" w:eastAsiaTheme="minorHAnsi" w:hAnsi="Arial" w:cs="Arial"/>
                <w:highlight w:val="yellow"/>
                <w:lang w:val="es-ES" w:eastAsia="en-US"/>
              </w:rPr>
              <w:t xml:space="preserve">Gestiones o actividades realizadas para la </w:t>
            </w:r>
            <w:r w:rsidR="00104EDD" w:rsidRPr="00721CE8">
              <w:rPr>
                <w:rFonts w:ascii="Arial" w:eastAsiaTheme="minorHAnsi" w:hAnsi="Arial" w:cs="Arial"/>
                <w:highlight w:val="yellow"/>
                <w:lang w:val="es-ES" w:eastAsia="en-US"/>
              </w:rPr>
              <w:t>actualización y seguimiento del Proyecto Ejecutivo</w:t>
            </w:r>
            <w:r w:rsidRPr="00721CE8">
              <w:rPr>
                <w:rFonts w:ascii="Arial" w:eastAsiaTheme="minorHAnsi" w:hAnsi="Arial" w:cs="Arial"/>
                <w:highlight w:val="yellow"/>
                <w:lang w:val="es-ES" w:eastAsia="en-US"/>
              </w:rPr>
              <w:t xml:space="preserve"> (en porcentaje).</w:t>
            </w:r>
          </w:p>
          <w:p w14:paraId="023D909E" w14:textId="77777777" w:rsidR="00104EDD" w:rsidRPr="006045FE" w:rsidRDefault="00CC6F13" w:rsidP="00B26BD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CC6F13">
              <w:rPr>
                <w:rFonts w:ascii="Arial" w:eastAsiaTheme="minorHAnsi" w:hAnsi="Arial" w:cs="Arial"/>
                <w:lang w:val="es-ES" w:eastAsia="en-US"/>
              </w:rPr>
              <w:t>Acciones realizadas para la autorización y gestión del recurso económico del Proyecto de construcción del CMPRD Zona Sur (en porcentaje).</w:t>
            </w:r>
          </w:p>
          <w:p w14:paraId="3382263B" w14:textId="77777777" w:rsidR="006045FE" w:rsidRPr="006045FE" w:rsidRDefault="006045FE" w:rsidP="00B26BD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</w:rPr>
              <w:t>Porcentaje de avance en la gestión de la Nomenclatura y la Construcción del CMPRD Zona Sur.</w:t>
            </w:r>
          </w:p>
          <w:p w14:paraId="52BFDC2B" w14:textId="718E5EA8" w:rsidR="006045FE" w:rsidRPr="001D710F" w:rsidRDefault="006045FE" w:rsidP="00B26BD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6045FE">
              <w:rPr>
                <w:rFonts w:ascii="Arial" w:eastAsiaTheme="minorHAnsi" w:hAnsi="Arial" w:cs="Arial"/>
                <w:lang w:val="es-ES" w:eastAsia="en-US"/>
              </w:rPr>
              <w:t>Acciones realizadas en la gestión del equipamiento del CMPRD Zona Sur (en porcentaje).</w:t>
            </w:r>
          </w:p>
        </w:tc>
        <w:tc>
          <w:tcPr>
            <w:tcW w:w="4218" w:type="dxa"/>
            <w:gridSpan w:val="2"/>
          </w:tcPr>
          <w:p w14:paraId="3D811A68" w14:textId="77777777" w:rsidR="00FC1290" w:rsidRDefault="00104EDD" w:rsidP="005346B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21CE8">
              <w:rPr>
                <w:rFonts w:ascii="Arial" w:hAnsi="Arial" w:cs="Arial"/>
                <w:color w:val="000000"/>
                <w:highlight w:val="yellow"/>
              </w:rPr>
              <w:t>Obtener la construcción del Centro Municipal de Prevención y Reacción de Desastres Zona Sur (Santa Anita) (Obtener 1</w:t>
            </w:r>
            <w:bookmarkStart w:id="0" w:name="_GoBack"/>
            <w:bookmarkEnd w:id="0"/>
            <w:r w:rsidRPr="00104ED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construcción</w:t>
            </w:r>
            <w:r w:rsidRPr="00104EDD">
              <w:rPr>
                <w:rFonts w:ascii="Arial" w:hAnsi="Arial" w:cs="Arial"/>
                <w:color w:val="000000"/>
              </w:rPr>
              <w:t xml:space="preserve"> de 0 existentes)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56E30DF" w14:textId="3671210B" w:rsidR="000F250D" w:rsidRPr="005346B3" w:rsidRDefault="000F250D" w:rsidP="005346B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250D">
              <w:rPr>
                <w:rFonts w:ascii="Arial" w:hAnsi="Arial" w:cs="Arial"/>
                <w:color w:val="000000"/>
              </w:rPr>
              <w:t>Equipa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0F250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0F250D">
              <w:rPr>
                <w:rFonts w:ascii="Arial" w:hAnsi="Arial" w:cs="Arial"/>
                <w:color w:val="000000"/>
              </w:rPr>
              <w:t xml:space="preserve">l Centro Municipal de Prevención y Reacción de Desastres Zona Sur (Santa Anita) (Obtener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0F250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CMPRD equipado</w:t>
            </w:r>
            <w:r w:rsidRPr="000F250D">
              <w:rPr>
                <w:rFonts w:ascii="Arial" w:hAnsi="Arial" w:cs="Arial"/>
                <w:color w:val="000000"/>
              </w:rPr>
              <w:t xml:space="preserve"> de 0 existentes)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60DD9C5B" w14:textId="77777777" w:rsidR="00AB2661" w:rsidRDefault="00AB2661"/>
    <w:p w14:paraId="30C43856" w14:textId="1DCFB223" w:rsidR="00AB2661" w:rsidRPr="002E6B50" w:rsidRDefault="005D4C71" w:rsidP="00AB2661">
      <w:pPr>
        <w:pStyle w:val="Piedepgina"/>
        <w:tabs>
          <w:tab w:val="clear" w:pos="4252"/>
          <w:tab w:val="clear" w:pos="8504"/>
          <w:tab w:val="left" w:pos="9562"/>
        </w:tabs>
        <w:rPr>
          <w:bCs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01B2614E">
                <wp:simplePos x="0" y="0"/>
                <wp:positionH relativeFrom="column">
                  <wp:posOffset>6552565</wp:posOffset>
                </wp:positionH>
                <wp:positionV relativeFrom="paragraph">
                  <wp:posOffset>147320</wp:posOffset>
                </wp:positionV>
                <wp:extent cx="2225040" cy="7620"/>
                <wp:effectExtent l="0" t="0" r="22860" b="3048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50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A80E119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5.95pt,11.6pt" to="69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16B1BA50">
                <wp:simplePos x="0" y="0"/>
                <wp:positionH relativeFrom="margin">
                  <wp:posOffset>2715895</wp:posOffset>
                </wp:positionH>
                <wp:positionV relativeFrom="paragraph">
                  <wp:posOffset>156210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E5CB0E3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85pt,12.3pt" to="47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2E6B50">
        <w:rPr>
          <w:b/>
          <w:sz w:val="24"/>
          <w:szCs w:val="24"/>
        </w:rPr>
        <w:t xml:space="preserve">      </w:t>
      </w:r>
      <w:r w:rsidR="002E6B50" w:rsidRPr="002E6B50">
        <w:rPr>
          <w:rFonts w:ascii="Arial" w:hAnsi="Arial" w:cs="Arial"/>
        </w:rPr>
        <w:t xml:space="preserve">Cmte. </w:t>
      </w:r>
      <w:r w:rsidR="005C5CB1">
        <w:rPr>
          <w:rFonts w:ascii="Arial" w:hAnsi="Arial" w:cs="Arial"/>
        </w:rPr>
        <w:t xml:space="preserve">Víctor Manuel Gallardo Gómez                      </w:t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2E6B50">
        <w:rPr>
          <w:b/>
          <w:sz w:val="24"/>
          <w:szCs w:val="24"/>
        </w:rPr>
        <w:t xml:space="preserve">   </w:t>
      </w:r>
      <w:r w:rsidR="002E6B50" w:rsidRPr="002E6B50">
        <w:rPr>
          <w:rFonts w:ascii="Arial" w:hAnsi="Arial" w:cs="Arial"/>
        </w:rPr>
        <w:t>26 de octubre de 2020</w:t>
      </w:r>
    </w:p>
    <w:p w14:paraId="72B1F695" w14:textId="1E02FEAA" w:rsidR="00AB2661" w:rsidRDefault="00AB2661"/>
    <w:sectPr w:rsidR="00AB2661" w:rsidSect="00EE5EE0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960B" w14:textId="77777777" w:rsidR="00F046CF" w:rsidRDefault="00F046CF" w:rsidP="0034725E">
      <w:pPr>
        <w:spacing w:after="0" w:line="240" w:lineRule="auto"/>
      </w:pPr>
      <w:r>
        <w:separator/>
      </w:r>
    </w:p>
  </w:endnote>
  <w:endnote w:type="continuationSeparator" w:id="0">
    <w:p w14:paraId="14371E44" w14:textId="77777777" w:rsidR="00F046CF" w:rsidRDefault="00F046CF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14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A31C6D" w14:textId="386D0845" w:rsidR="00084389" w:rsidRDefault="0008438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C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C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566634" w14:textId="77777777" w:rsidR="00084389" w:rsidRDefault="00084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94DCC" w14:textId="77777777" w:rsidR="00F046CF" w:rsidRDefault="00F046CF" w:rsidP="0034725E">
      <w:pPr>
        <w:spacing w:after="0" w:line="240" w:lineRule="auto"/>
      </w:pPr>
      <w:r>
        <w:separator/>
      </w:r>
    </w:p>
  </w:footnote>
  <w:footnote w:type="continuationSeparator" w:id="0">
    <w:p w14:paraId="29735E2D" w14:textId="77777777" w:rsidR="00F046CF" w:rsidRDefault="00F046CF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FB8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63F"/>
    <w:multiLevelType w:val="hybridMultilevel"/>
    <w:tmpl w:val="AD7AB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E8A"/>
    <w:multiLevelType w:val="hybridMultilevel"/>
    <w:tmpl w:val="79BED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6BE5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1B4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703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24BC2"/>
    <w:rsid w:val="0004480D"/>
    <w:rsid w:val="000704AD"/>
    <w:rsid w:val="00084389"/>
    <w:rsid w:val="000A21C8"/>
    <w:rsid w:val="000C0441"/>
    <w:rsid w:val="000F250D"/>
    <w:rsid w:val="000F3216"/>
    <w:rsid w:val="000F547E"/>
    <w:rsid w:val="00104EDD"/>
    <w:rsid w:val="00130710"/>
    <w:rsid w:val="001777B2"/>
    <w:rsid w:val="00181609"/>
    <w:rsid w:val="001D710F"/>
    <w:rsid w:val="001E1A51"/>
    <w:rsid w:val="001F3340"/>
    <w:rsid w:val="001F6D5F"/>
    <w:rsid w:val="00247E5D"/>
    <w:rsid w:val="002619AB"/>
    <w:rsid w:val="00284ED1"/>
    <w:rsid w:val="00293691"/>
    <w:rsid w:val="002E6B50"/>
    <w:rsid w:val="00317D0A"/>
    <w:rsid w:val="00340E9C"/>
    <w:rsid w:val="0034725E"/>
    <w:rsid w:val="0035569B"/>
    <w:rsid w:val="00390884"/>
    <w:rsid w:val="003A0A67"/>
    <w:rsid w:val="003C6333"/>
    <w:rsid w:val="003F5755"/>
    <w:rsid w:val="003F6A1E"/>
    <w:rsid w:val="00413719"/>
    <w:rsid w:val="00440617"/>
    <w:rsid w:val="004C4E1A"/>
    <w:rsid w:val="005346B3"/>
    <w:rsid w:val="005C396B"/>
    <w:rsid w:val="005C5CB1"/>
    <w:rsid w:val="005D4C71"/>
    <w:rsid w:val="006045FE"/>
    <w:rsid w:val="00611582"/>
    <w:rsid w:val="006120F4"/>
    <w:rsid w:val="00642489"/>
    <w:rsid w:val="00680AAA"/>
    <w:rsid w:val="006817D1"/>
    <w:rsid w:val="00685B58"/>
    <w:rsid w:val="006D004C"/>
    <w:rsid w:val="006E768B"/>
    <w:rsid w:val="00717D9D"/>
    <w:rsid w:val="00721CE8"/>
    <w:rsid w:val="007302A9"/>
    <w:rsid w:val="00731998"/>
    <w:rsid w:val="00755BCC"/>
    <w:rsid w:val="00763DC6"/>
    <w:rsid w:val="00765AB3"/>
    <w:rsid w:val="007B0690"/>
    <w:rsid w:val="007C6A4F"/>
    <w:rsid w:val="007F7C8B"/>
    <w:rsid w:val="00851B35"/>
    <w:rsid w:val="00880669"/>
    <w:rsid w:val="00884657"/>
    <w:rsid w:val="0089213A"/>
    <w:rsid w:val="008D58F7"/>
    <w:rsid w:val="008E310A"/>
    <w:rsid w:val="008E3B8B"/>
    <w:rsid w:val="00902DC4"/>
    <w:rsid w:val="009306FD"/>
    <w:rsid w:val="00947234"/>
    <w:rsid w:val="009650B5"/>
    <w:rsid w:val="00970FDC"/>
    <w:rsid w:val="00997047"/>
    <w:rsid w:val="009A2C5D"/>
    <w:rsid w:val="00A158A4"/>
    <w:rsid w:val="00A207F0"/>
    <w:rsid w:val="00A37A34"/>
    <w:rsid w:val="00A55335"/>
    <w:rsid w:val="00AA34D4"/>
    <w:rsid w:val="00AB2661"/>
    <w:rsid w:val="00AD18FB"/>
    <w:rsid w:val="00AF4DC5"/>
    <w:rsid w:val="00B00210"/>
    <w:rsid w:val="00B26BD9"/>
    <w:rsid w:val="00B4103C"/>
    <w:rsid w:val="00BC2050"/>
    <w:rsid w:val="00BC5F30"/>
    <w:rsid w:val="00BD0ECA"/>
    <w:rsid w:val="00C65066"/>
    <w:rsid w:val="00C74852"/>
    <w:rsid w:val="00C75D1C"/>
    <w:rsid w:val="00C76E9F"/>
    <w:rsid w:val="00CC6F13"/>
    <w:rsid w:val="00CD19E4"/>
    <w:rsid w:val="00CD3ECE"/>
    <w:rsid w:val="00CD4DAC"/>
    <w:rsid w:val="00CD629B"/>
    <w:rsid w:val="00D12747"/>
    <w:rsid w:val="00D4746E"/>
    <w:rsid w:val="00D80584"/>
    <w:rsid w:val="00DA4011"/>
    <w:rsid w:val="00DB7A25"/>
    <w:rsid w:val="00DC1FD1"/>
    <w:rsid w:val="00DE1A62"/>
    <w:rsid w:val="00DF3A74"/>
    <w:rsid w:val="00E3196F"/>
    <w:rsid w:val="00E808A6"/>
    <w:rsid w:val="00E84FA9"/>
    <w:rsid w:val="00E87236"/>
    <w:rsid w:val="00ED628F"/>
    <w:rsid w:val="00EE467F"/>
    <w:rsid w:val="00EE5EE0"/>
    <w:rsid w:val="00F046CF"/>
    <w:rsid w:val="00F1252F"/>
    <w:rsid w:val="00F91018"/>
    <w:rsid w:val="00F924EC"/>
    <w:rsid w:val="00FA50F9"/>
    <w:rsid w:val="00FA5BF2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1609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C671-005F-484A-959C-C57B6530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2020-10-23T19:08:00Z</cp:lastPrinted>
  <dcterms:created xsi:type="dcterms:W3CDTF">2020-11-04T20:32:00Z</dcterms:created>
  <dcterms:modified xsi:type="dcterms:W3CDTF">2020-11-05T16:09:00Z</dcterms:modified>
</cp:coreProperties>
</file>