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825"/>
      </w:tblGrid>
      <w:tr w:rsidR="009A2C5D" w14:paraId="55BC61A3" w14:textId="77777777" w:rsidTr="006365F2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A5C209C" w:rsidR="009A2C5D" w:rsidRDefault="00183066">
            <w:r w:rsidRPr="00183066">
              <w:t>Coordinación de Contratos y Convenios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6365F2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B7E9408" w:rsidR="009A2C5D" w:rsidRPr="0035569B" w:rsidRDefault="00183066" w:rsidP="0034725E">
            <w:r w:rsidRPr="00183066">
              <w:t>Revisión de contratos para firma de la Sindic</w:t>
            </w:r>
            <w:r>
              <w:t>a</w:t>
            </w:r>
            <w:r w:rsidRPr="00183066">
              <w:t>tura solicitada por las dependencias del municipio para la continuación de los procesos que les dan origen contribuyendo a la institucionalización de las buenas prácticas y a la eficacia de la gestión municipal</w:t>
            </w:r>
          </w:p>
        </w:tc>
        <w:tc>
          <w:tcPr>
            <w:tcW w:w="282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6365F2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6365F2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82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6365F2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D0B64AC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19220436" w:rsidR="00947234" w:rsidRDefault="006365F2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82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6365F2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894" w:type="dxa"/>
            <w:gridSpan w:val="4"/>
          </w:tcPr>
          <w:p w14:paraId="59A6ABE1" w14:textId="7C9750D2" w:rsidR="00765AB3" w:rsidRPr="0035569B" w:rsidRDefault="006365F2" w:rsidP="00880669">
            <w:r>
              <w:t xml:space="preserve">La correcta gestión administrativa y oportuna atención de cada una de las solicitudes emitidas por las diversas dependencias del municipio para la revisión de los contratos y convenios que deben ser firmados por la sindicatura, para el cumplimiento eficaz de las funciones y los objetivos institucionales de las diversas dependencias municipales. Así como la garantía de legalidad que cada uno de los contratos que se suscriben deben de tener; los cuales benefician no sólo a las dependencias solicitantes y otras dependencias del ayuntamiento, si no a la población en general  del municipio, que por virtud de dichos contratos reciben la prestación de servicios públicos, la atención de sus necesidades tanto individuales como colectivas, contribuyendo al </w:t>
            </w:r>
            <w:r w:rsidRPr="0057669B">
              <w:t>fortalecimiento institucional,</w:t>
            </w:r>
            <w:r>
              <w:t xml:space="preserve"> la sistematización de procesos,</w:t>
            </w:r>
            <w:r w:rsidRPr="0057669B">
              <w:t xml:space="preserve"> el respeto a los derechos humanos</w:t>
            </w:r>
            <w:r>
              <w:t>, la transparencia</w:t>
            </w:r>
            <w:r w:rsidRPr="0057669B">
              <w:t xml:space="preserve"> y la legalidad.</w:t>
            </w:r>
          </w:p>
        </w:tc>
      </w:tr>
      <w:tr w:rsidR="00880669" w14:paraId="7DC78563" w14:textId="77777777" w:rsidTr="006365F2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894" w:type="dxa"/>
            <w:gridSpan w:val="4"/>
          </w:tcPr>
          <w:p w14:paraId="1F684263" w14:textId="7092B5E1" w:rsidR="00765AB3" w:rsidRPr="006365F2" w:rsidRDefault="006365F2" w:rsidP="007F7C8B">
            <w:r w:rsidRPr="006365F2">
              <w:t>V</w:t>
            </w:r>
            <w:r w:rsidRPr="006365F2">
              <w:t xml:space="preserve">elar por que los contratos y convenios que se firmen oportunamente y se encuentren apegados a la normatividad aplicable, abonando a la continuidad y eficacia de los procesos de cada </w:t>
            </w:r>
            <w:r w:rsidRPr="006365F2">
              <w:t>dependencia solicitante</w:t>
            </w:r>
            <w:r w:rsidRPr="006365F2">
              <w:t>, cumpliendo con el fortalecimiento institucional, el respeto a los derechos humanos y la legalidad, en beneficio no sólo del municipio sino del resto de las dependencias municipales y de la ciudadanía a las que atienden cada una de las dependencias solicitantes.</w:t>
            </w:r>
          </w:p>
        </w:tc>
      </w:tr>
      <w:tr w:rsidR="00880669" w14:paraId="010EF48D" w14:textId="77777777" w:rsidTr="006365F2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894" w:type="dxa"/>
            <w:gridSpan w:val="4"/>
          </w:tcPr>
          <w:p w14:paraId="05AAAB71" w14:textId="77777777" w:rsidR="00024FAE" w:rsidRDefault="00024FAE" w:rsidP="00AD18FB">
            <w:pPr>
              <w:jc w:val="both"/>
            </w:pPr>
            <w:r>
              <w:t>7.1 Gobierno confiable y cercano para la ciudadanía.</w:t>
            </w:r>
          </w:p>
          <w:p w14:paraId="21A63A15" w14:textId="6A91CA1C" w:rsidR="00E808A6" w:rsidRPr="0035569B" w:rsidRDefault="00024FAE" w:rsidP="00AD18FB">
            <w:pPr>
              <w:jc w:val="both"/>
            </w:pPr>
            <w:r>
              <w:t xml:space="preserve">7.1.10  </w:t>
            </w:r>
          </w:p>
        </w:tc>
      </w:tr>
      <w:tr w:rsidR="00E808A6" w14:paraId="530E9F63" w14:textId="77777777" w:rsidTr="006365F2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67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6365F2">
        <w:tc>
          <w:tcPr>
            <w:tcW w:w="4560" w:type="dxa"/>
            <w:gridSpan w:val="3"/>
            <w:shd w:val="clear" w:color="auto" w:fill="auto"/>
          </w:tcPr>
          <w:p w14:paraId="01988200" w14:textId="6FD52BD7" w:rsidR="00902DC4" w:rsidRPr="00BC2050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  <w:r w:rsidRPr="006365F2">
              <w:rPr>
                <w:rFonts w:ascii="Calibri" w:hAnsi="Calibri" w:cs="Calibri"/>
                <w:bCs/>
              </w:rPr>
              <w:lastRenderedPageBreak/>
              <w:t>Porcentaje de avance en la atención de solicitudes de revisión de contratos para firma de la Sindicatura, solicitadas por las áreas y dependencias del municipio par</w:t>
            </w:r>
            <w:r>
              <w:rPr>
                <w:rFonts w:ascii="Calibri" w:hAnsi="Calibri" w:cs="Calibri"/>
                <w:bCs/>
              </w:rPr>
              <w:t>a</w:t>
            </w:r>
            <w:r w:rsidRPr="006365F2">
              <w:rPr>
                <w:rFonts w:ascii="Calibri" w:hAnsi="Calibri" w:cs="Calibri"/>
                <w:bCs/>
              </w:rPr>
              <w:t xml:space="preserve"> l</w:t>
            </w:r>
            <w:r>
              <w:rPr>
                <w:rFonts w:ascii="Calibri" w:hAnsi="Calibri" w:cs="Calibri"/>
                <w:bCs/>
              </w:rPr>
              <w:t>a</w:t>
            </w:r>
            <w:r w:rsidRPr="006365F2">
              <w:rPr>
                <w:rFonts w:ascii="Calibri" w:hAnsi="Calibri" w:cs="Calibri"/>
                <w:bCs/>
              </w:rPr>
              <w:t xml:space="preserve"> continuación y eficacia de la gestión municipal integrando en todo el proceso la aplic</w:t>
            </w:r>
            <w:r>
              <w:rPr>
                <w:rFonts w:ascii="Calibri" w:hAnsi="Calibri" w:cs="Calibri"/>
                <w:bCs/>
              </w:rPr>
              <w:t>ac</w:t>
            </w:r>
            <w:r w:rsidRPr="006365F2">
              <w:rPr>
                <w:rFonts w:ascii="Calibri" w:hAnsi="Calibri" w:cs="Calibri"/>
                <w:bCs/>
              </w:rPr>
              <w:t>ió</w:t>
            </w:r>
            <w:r>
              <w:rPr>
                <w:rFonts w:ascii="Calibri" w:hAnsi="Calibri" w:cs="Calibri"/>
                <w:bCs/>
              </w:rPr>
              <w:t>n</w:t>
            </w:r>
            <w:r w:rsidRPr="006365F2">
              <w:rPr>
                <w:rFonts w:ascii="Calibri" w:hAnsi="Calibri" w:cs="Calibri"/>
                <w:bCs/>
              </w:rPr>
              <w:t xml:space="preserve"> de las mejores prácticas de gestión municipal</w:t>
            </w:r>
          </w:p>
        </w:tc>
        <w:tc>
          <w:tcPr>
            <w:tcW w:w="5216" w:type="dxa"/>
            <w:gridSpan w:val="2"/>
          </w:tcPr>
          <w:p w14:paraId="438A1EA2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5D267885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6A293A25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3C735123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4AA87A94" w:rsidR="00E808A6" w:rsidRPr="00BC2050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  <w:r w:rsidRPr="006365F2">
              <w:rPr>
                <w:rFonts w:ascii="Calibri" w:hAnsi="Calibri" w:cs="Calibri"/>
                <w:bCs/>
              </w:rPr>
              <w:t>Número de solicitudes atendidas</w:t>
            </w:r>
          </w:p>
        </w:tc>
        <w:tc>
          <w:tcPr>
            <w:tcW w:w="4678" w:type="dxa"/>
            <w:gridSpan w:val="2"/>
          </w:tcPr>
          <w:p w14:paraId="2A1D98EE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7F6EC28A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0942E702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5F58E1A4" w14:textId="77777777" w:rsidR="006365F2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66A4E7AE" w:rsidR="00E808A6" w:rsidRPr="00BC2050" w:rsidRDefault="006365F2" w:rsidP="006365F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100%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24FAE"/>
    <w:rsid w:val="000A21C8"/>
    <w:rsid w:val="00130710"/>
    <w:rsid w:val="001777B2"/>
    <w:rsid w:val="00183066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365F2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2020-10-26T20:28:00Z</dcterms:created>
  <dcterms:modified xsi:type="dcterms:W3CDTF">2020-10-26T20:28:00Z</dcterms:modified>
</cp:coreProperties>
</file>