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683"/>
      </w:tblGrid>
      <w:tr w:rsidR="009A2C5D" w14:paraId="55BC61A3" w14:textId="77777777" w:rsidTr="00063549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1073CF0A" w:rsidR="009A2C5D" w:rsidRDefault="00063549">
            <w:r w:rsidRPr="00063549">
              <w:t>Dirección General Jurídica</w:t>
            </w:r>
          </w:p>
        </w:tc>
        <w:tc>
          <w:tcPr>
            <w:tcW w:w="2683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063549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3BBCA28E" w:rsidR="009A2C5D" w:rsidRPr="0035569B" w:rsidRDefault="00063549" w:rsidP="0034725E">
            <w:r w:rsidRPr="00063549">
              <w:t>Asesoría consultiva legal gratuita a ciudadanos del Municipio de San Pedro Tlaquepaque</w:t>
            </w:r>
          </w:p>
        </w:tc>
        <w:tc>
          <w:tcPr>
            <w:tcW w:w="2683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063549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683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063549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683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063549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53632BBE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1E920113" w:rsidR="00947234" w:rsidRDefault="00063549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683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063549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52" w:type="dxa"/>
            <w:gridSpan w:val="4"/>
          </w:tcPr>
          <w:p w14:paraId="59A6ABE1" w14:textId="46A63614" w:rsidR="00765AB3" w:rsidRPr="0035569B" w:rsidRDefault="00063549" w:rsidP="00880669">
            <w:r w:rsidRPr="00241C98">
              <w:rPr>
                <w:rFonts w:cs="Arial"/>
              </w:rPr>
              <w:t>Las necesidades de la población activa</w:t>
            </w:r>
            <w:r>
              <w:rPr>
                <w:rFonts w:cs="Arial"/>
              </w:rPr>
              <w:t xml:space="preserve"> </w:t>
            </w:r>
            <w:r w:rsidRPr="00241C98">
              <w:rPr>
                <w:rFonts w:cs="Arial"/>
              </w:rPr>
              <w:t>del Municipio de San Pedro Tlaquepaque, presenta</w:t>
            </w:r>
            <w:r>
              <w:rPr>
                <w:rFonts w:cs="Arial"/>
              </w:rPr>
              <w:t xml:space="preserve">n </w:t>
            </w:r>
            <w:r w:rsidRPr="00241C98">
              <w:rPr>
                <w:rFonts w:cs="Arial"/>
              </w:rPr>
              <w:t>vulnerabilidad legal, dejándolos en estado de indefensión de su patrimonio, por lo que, se planifica el siguiente programa, atendiendo a los ciudadanos, con el fin de orientarlos legalmente en la materia que lo requiera, Mercantil, Civil, Penal, Administrativo, Amparos, Quejas.</w:t>
            </w:r>
          </w:p>
        </w:tc>
      </w:tr>
      <w:tr w:rsidR="00880669" w14:paraId="7DC78563" w14:textId="77777777" w:rsidTr="00063549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52" w:type="dxa"/>
            <w:gridSpan w:val="4"/>
          </w:tcPr>
          <w:p w14:paraId="1F684263" w14:textId="37F268BC" w:rsidR="00765AB3" w:rsidRPr="0035569B" w:rsidRDefault="00063549" w:rsidP="007F7C8B">
            <w:r>
              <w:rPr>
                <w:rFonts w:cstheme="minorHAnsi"/>
              </w:rPr>
              <w:t>Ofrecer orientación en asesorías gratuita en materia legal a los ciudadanos que habitan en el Municipios de San Pedro Tlaquepaque, apoyando a la economía de la población y facilitándoles al ciudadano el conocimiento de que autoridad debe resolver.</w:t>
            </w:r>
          </w:p>
        </w:tc>
      </w:tr>
      <w:tr w:rsidR="00880669" w14:paraId="010EF48D" w14:textId="77777777" w:rsidTr="00063549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52" w:type="dxa"/>
            <w:gridSpan w:val="4"/>
          </w:tcPr>
          <w:p w14:paraId="438B1B18" w14:textId="77777777" w:rsidR="00E808A6" w:rsidRDefault="00063549" w:rsidP="00AD18FB">
            <w:pPr>
              <w:jc w:val="both"/>
            </w:pPr>
            <w:r>
              <w:t>7.1 Gobierno confiable y cercano para la ciudadanía.</w:t>
            </w:r>
          </w:p>
          <w:p w14:paraId="21A63A15" w14:textId="2B757055" w:rsidR="00063549" w:rsidRPr="0035569B" w:rsidRDefault="00063549" w:rsidP="00AD18FB">
            <w:pPr>
              <w:jc w:val="both"/>
            </w:pPr>
            <w:r>
              <w:t>7.1.6 Asegura que la atención en trámites y servicios sea homologada y se realice de forma eficiente, amble e incluyente a toda persona que lo solicite bajo el principio de inclusión universal.</w:t>
            </w:r>
          </w:p>
        </w:tc>
      </w:tr>
      <w:tr w:rsidR="00E808A6" w14:paraId="530E9F63" w14:textId="77777777" w:rsidTr="00063549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536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063549">
        <w:tc>
          <w:tcPr>
            <w:tcW w:w="4560" w:type="dxa"/>
            <w:gridSpan w:val="3"/>
            <w:shd w:val="clear" w:color="auto" w:fill="auto"/>
          </w:tcPr>
          <w:p w14:paraId="0128F867" w14:textId="77777777" w:rsidR="00E808A6" w:rsidRDefault="00E808A6" w:rsidP="00BD0ECA">
            <w:pPr>
              <w:rPr>
                <w:rFonts w:ascii="Calibri" w:hAnsi="Calibri" w:cs="Calibri"/>
                <w:bCs/>
              </w:rPr>
            </w:pPr>
          </w:p>
          <w:p w14:paraId="5376A0B0" w14:textId="61D42AB2" w:rsidR="00902DC4" w:rsidRDefault="00063549" w:rsidP="00BD0ECA">
            <w:pPr>
              <w:rPr>
                <w:rFonts w:ascii="Calibri" w:hAnsi="Calibri" w:cs="Calibri"/>
                <w:bCs/>
              </w:rPr>
            </w:pPr>
            <w:r w:rsidRPr="00063549">
              <w:rPr>
                <w:rFonts w:ascii="Calibri" w:hAnsi="Calibri" w:cs="Calibri"/>
                <w:bCs/>
              </w:rPr>
              <w:t>Porcentaje de avance en el servicio de Asesoría consultiva legal gratuita a ciudadanos</w:t>
            </w:r>
          </w:p>
          <w:p w14:paraId="4A3065E4" w14:textId="77777777" w:rsidR="00902DC4" w:rsidRDefault="00902DC4" w:rsidP="00BD0ECA">
            <w:pPr>
              <w:rPr>
                <w:rFonts w:ascii="Calibri" w:hAnsi="Calibri" w:cs="Calibri"/>
                <w:bCs/>
              </w:rPr>
            </w:pPr>
          </w:p>
          <w:p w14:paraId="01988200" w14:textId="08FF6E20" w:rsidR="00902DC4" w:rsidRPr="00BC2050" w:rsidRDefault="00902DC4" w:rsidP="00BD0ECA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52BFDC2B" w14:textId="7A9D8758" w:rsidR="00E808A6" w:rsidRPr="00BC2050" w:rsidRDefault="00063549" w:rsidP="00BC2050">
            <w:pPr>
              <w:jc w:val="center"/>
              <w:rPr>
                <w:rFonts w:ascii="Calibri" w:hAnsi="Calibri" w:cs="Calibri"/>
                <w:bCs/>
              </w:rPr>
            </w:pPr>
            <w:r w:rsidRPr="00063549">
              <w:rPr>
                <w:rFonts w:ascii="Calibri" w:hAnsi="Calibri" w:cs="Calibri"/>
                <w:bCs/>
              </w:rPr>
              <w:t>Número de atenciones realizadas</w:t>
            </w:r>
          </w:p>
        </w:tc>
        <w:tc>
          <w:tcPr>
            <w:tcW w:w="4536" w:type="dxa"/>
            <w:gridSpan w:val="2"/>
          </w:tcPr>
          <w:p w14:paraId="256E30DF" w14:textId="75A2B219" w:rsidR="00E808A6" w:rsidRPr="00BC2050" w:rsidRDefault="00063549" w:rsidP="00BC2050">
            <w:pPr>
              <w:jc w:val="center"/>
              <w:rPr>
                <w:rFonts w:ascii="Calibri" w:hAnsi="Calibri" w:cs="Calibri"/>
                <w:bCs/>
              </w:rPr>
            </w:pPr>
            <w:r w:rsidRPr="00063549">
              <w:rPr>
                <w:rFonts w:ascii="Calibri" w:hAnsi="Calibri" w:cs="Calibri"/>
                <w:bCs/>
              </w:rPr>
              <w:t>80 asesorías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63549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2020-10-26T20:37:00Z</dcterms:created>
  <dcterms:modified xsi:type="dcterms:W3CDTF">2020-10-26T20:37:00Z</dcterms:modified>
</cp:coreProperties>
</file>