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A3E3A07" w:rsidR="009A2C5D" w:rsidRDefault="00C860D3">
            <w:r w:rsidRPr="00C860D3">
              <w:t xml:space="preserve">Dirección de Juzgados Municipales 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901FF7F" w:rsidR="009A2C5D" w:rsidRPr="0035569B" w:rsidRDefault="00C860D3" w:rsidP="0034725E">
            <w:r w:rsidRPr="00C860D3">
              <w:t>Adecuación de reglamento de Policía y Buen Gobierno para la implementación del Modelo Homologado de Justicia Cívica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79F4B999" w:rsidR="00765AB3" w:rsidRPr="0035569B" w:rsidRDefault="00C860D3" w:rsidP="006F56C0">
            <w:pPr>
              <w:jc w:val="both"/>
            </w:pPr>
            <w:r>
              <w:rPr>
                <w:rFonts w:cstheme="minorHAnsi"/>
                <w:color w:val="222222"/>
                <w:shd w:val="clear" w:color="auto" w:fill="FFFFFF"/>
              </w:rPr>
              <w:t>B</w:t>
            </w:r>
            <w:r>
              <w:t>uscar pasar del proceso actual de calificación y sanción de faltas administrativas a la incorporación de una visión de Justicia Cívica que procura facilitar y mejorar la convivencia en una comunidad y evitar que los conflictos escalen a conductas delictivas o actos de violencia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79488237" w14:textId="77777777" w:rsidR="00C860D3" w:rsidRDefault="00C860D3" w:rsidP="00C860D3">
            <w:pPr>
              <w:jc w:val="both"/>
            </w:pPr>
            <w:r>
              <w:t>Sentar las bases para la actualización del Reglamento de Policía y Buen Gobierno del Municipio vigente.</w:t>
            </w:r>
          </w:p>
          <w:p w14:paraId="1F684263" w14:textId="2A9BDC6B" w:rsidR="00765AB3" w:rsidRPr="006F56C0" w:rsidRDefault="00765AB3" w:rsidP="007F7C8B">
            <w:pPr>
              <w:rPr>
                <w:rFonts w:cstheme="minorHAnsi"/>
              </w:rPr>
            </w:pP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1286E31" w14:textId="77777777" w:rsidR="00C860D3" w:rsidRDefault="00C860D3" w:rsidP="00C860D3">
            <w:pPr>
              <w:rPr>
                <w:rFonts w:cstheme="minorHAnsi"/>
              </w:rPr>
            </w:pPr>
            <w:r>
              <w:rPr>
                <w:rFonts w:cstheme="minorHAnsi"/>
              </w:rPr>
              <w:t>5.9 Mediación Comunitaria y de justicia cívica</w:t>
            </w:r>
          </w:p>
          <w:p w14:paraId="21A63A15" w14:textId="7404630C" w:rsidR="00E808A6" w:rsidRPr="0035569B" w:rsidRDefault="00C860D3" w:rsidP="000174D6">
            <w:r>
              <w:t>5.9.6 Implementar el modelo homologado de justicia cívica, buen gobierno y cultura de la legalidad.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6DA6E56E" w14:textId="77777777" w:rsidR="006F56C0" w:rsidRDefault="00C860D3" w:rsidP="000174D6">
            <w:pPr>
              <w:jc w:val="center"/>
              <w:rPr>
                <w:rFonts w:ascii="Calibri" w:hAnsi="Calibri" w:cs="Calibri"/>
                <w:bCs/>
              </w:rPr>
            </w:pPr>
            <w:r w:rsidRPr="00C860D3">
              <w:rPr>
                <w:rFonts w:ascii="Calibri" w:hAnsi="Calibri" w:cs="Calibri"/>
                <w:bCs/>
              </w:rPr>
              <w:t>Porcentaje de avance en el proceso de adecuación del Reglamento Municipal de Justicia Cívica</w:t>
            </w:r>
          </w:p>
          <w:p w14:paraId="01988200" w14:textId="5988BC26" w:rsidR="00C860D3" w:rsidRPr="00BC2050" w:rsidRDefault="00C860D3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934DB6F" w:rsidR="00E808A6" w:rsidRPr="00BC2050" w:rsidRDefault="00C860D3" w:rsidP="006F56C0">
            <w:pPr>
              <w:jc w:val="center"/>
              <w:rPr>
                <w:rFonts w:ascii="Calibri" w:hAnsi="Calibri" w:cs="Calibri"/>
                <w:bCs/>
              </w:rPr>
            </w:pPr>
            <w:r w:rsidRPr="00C860D3">
              <w:rPr>
                <w:rFonts w:ascii="Calibri" w:hAnsi="Calibri" w:cs="Calibri"/>
                <w:bCs/>
              </w:rPr>
              <w:t>Número de etapas realizadas</w:t>
            </w: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53A576D" w:rsidR="00E808A6" w:rsidRPr="00BC2050" w:rsidRDefault="00C860D3" w:rsidP="006F56C0">
            <w:pPr>
              <w:jc w:val="center"/>
              <w:rPr>
                <w:rFonts w:ascii="Calibri" w:hAnsi="Calibri" w:cs="Calibri"/>
                <w:bCs/>
              </w:rPr>
            </w:pPr>
            <w:r w:rsidRPr="00C860D3">
              <w:rPr>
                <w:rFonts w:ascii="Calibri" w:hAnsi="Calibri" w:cs="Calibri"/>
                <w:bCs/>
              </w:rPr>
              <w:t>5 etapas realizadas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860D3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2020-10-27T18:53:00Z</dcterms:created>
  <dcterms:modified xsi:type="dcterms:W3CDTF">2020-10-27T18:53:00Z</dcterms:modified>
</cp:coreProperties>
</file>