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3271FD">
        <w:rPr>
          <w:rFonts w:ascii="Arial" w:eastAsia="Arial Unicode MS" w:hAnsi="Arial" w:cs="Arial"/>
          <w:b/>
          <w:sz w:val="18"/>
          <w:szCs w:val="18"/>
          <w:lang w:eastAsia="es-MX"/>
        </w:rPr>
        <w:t>03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3271FD">
        <w:rPr>
          <w:rFonts w:ascii="Arial" w:eastAsia="Arial Unicode MS" w:hAnsi="Arial" w:cs="Arial"/>
          <w:b/>
          <w:sz w:val="18"/>
          <w:szCs w:val="18"/>
          <w:lang w:val="es-ES" w:eastAsia="es-MX"/>
        </w:rPr>
        <w:t>06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4D458F">
        <w:rPr>
          <w:rFonts w:ascii="Arial" w:eastAsia="Arial Unicode MS" w:hAnsi="Arial" w:cs="Arial"/>
          <w:b/>
          <w:sz w:val="18"/>
          <w:szCs w:val="18"/>
          <w:lang w:val="es-ES" w:eastAsia="es-MX"/>
        </w:rPr>
        <w:t>FEBRERO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271FD" w:rsidRPr="003271FD">
        <w:rPr>
          <w:rFonts w:ascii="Arial" w:hAnsi="Arial" w:cs="Arial"/>
          <w:b/>
          <w:sz w:val="18"/>
          <w:szCs w:val="18"/>
          <w:lang w:val="es-MX"/>
        </w:rPr>
        <w:t xml:space="preserve">REENCARPETAMIENTO DE LA CALLE SAN JUAN EVANGELISTA DESDE AVENIDA SAN MIGUEL ARCÁNGEL HASTA CALLE SAN PEDRO </w:t>
      </w:r>
      <w:r w:rsidR="003271FD" w:rsidRPr="003271FD">
        <w:rPr>
          <w:rFonts w:ascii="Arial" w:hAnsi="Arial" w:cs="Arial"/>
          <w:b/>
          <w:sz w:val="18"/>
          <w:szCs w:val="18"/>
          <w:lang w:val="es-MX"/>
        </w:rPr>
        <w:t>APÓSTOL</w:t>
      </w:r>
      <w:r w:rsidR="003271FD" w:rsidRPr="003271FD">
        <w:rPr>
          <w:rFonts w:ascii="Arial" w:hAnsi="Arial" w:cs="Arial"/>
          <w:b/>
          <w:sz w:val="18"/>
          <w:szCs w:val="18"/>
          <w:lang w:val="es-MX"/>
        </w:rPr>
        <w:t>, EN LA COLONIA LOMAS DE SAN MIGUEL DEL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3271FD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271FD" w:rsidRPr="003271FD">
        <w:rPr>
          <w:rFonts w:ascii="Arial" w:hAnsi="Arial" w:cs="Arial"/>
          <w:b/>
          <w:snapToGrid w:val="0"/>
          <w:sz w:val="18"/>
          <w:szCs w:val="18"/>
          <w:lang w:val="es-MX"/>
        </w:rPr>
        <w:t>$1,109,194.22 (UN MILLÓN CIENTO NUEVE MIL CIENTO NOVENTA Y CUATRO PESOS 22/100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D2F21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4D458F" w:rsidRPr="004D458F">
        <w:rPr>
          <w:rFonts w:ascii="Arial" w:hAnsi="Arial" w:cs="Arial"/>
          <w:b/>
          <w:sz w:val="18"/>
          <w:szCs w:val="18"/>
        </w:rPr>
        <w:t xml:space="preserve">PROSPET TRANSPORTE </w:t>
      </w:r>
      <w:r w:rsidR="004D458F" w:rsidRPr="004D458F">
        <w:rPr>
          <w:rFonts w:ascii="Arial" w:hAnsi="Arial" w:cs="Arial"/>
          <w:b/>
          <w:sz w:val="18"/>
          <w:szCs w:val="18"/>
        </w:rPr>
        <w:lastRenderedPageBreak/>
        <w:t>PROYECTO Y CONSTRUCCIÓN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S.A. DE C.V., </w:t>
      </w:r>
      <w:r w:rsidRPr="001D2F21">
        <w:rPr>
          <w:rFonts w:ascii="Arial" w:hAnsi="Arial" w:cs="Arial"/>
          <w:sz w:val="18"/>
          <w:szCs w:val="18"/>
        </w:rPr>
        <w:t>LA CUAL SE ENCUENTRA DADA DE</w:t>
      </w:r>
      <w:bookmarkStart w:id="0" w:name="_GoBack"/>
      <w:bookmarkEnd w:id="0"/>
      <w:r w:rsidRPr="001D2F21">
        <w:rPr>
          <w:rFonts w:ascii="Arial" w:hAnsi="Arial" w:cs="Arial"/>
          <w:sz w:val="18"/>
          <w:szCs w:val="18"/>
        </w:rPr>
        <w:t xml:space="preserve"> ALTA Y VIGENTE EN EL PADRÓN DE CONTRATISTAS DEL GOBIERNO MUNICIPAL DE SAN PEDRO TLAQUEPAQUE, CON REGISTRO NÚMERO 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PCT-</w:t>
      </w:r>
      <w:r w:rsidR="004D458F" w:rsidRPr="004D458F">
        <w:rPr>
          <w:rFonts w:ascii="Arial" w:hAnsi="Arial" w:cs="Arial"/>
          <w:b/>
          <w:sz w:val="18"/>
          <w:szCs w:val="18"/>
        </w:rPr>
        <w:t>1087/2018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3271FD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271FD" w:rsidRPr="003271FD">
        <w:rPr>
          <w:rFonts w:ascii="Arial" w:hAnsi="Arial" w:cs="Arial"/>
          <w:b/>
          <w:sz w:val="18"/>
          <w:szCs w:val="18"/>
          <w:lang w:val="es-MX"/>
        </w:rPr>
        <w:t xml:space="preserve">REENCARPETAMIENTO DE LA CALLE SAN JUAN EVANGELISTA DESDE AVENIDA SAN MIGUEL ARCÁNGEL HASTA CALLE SAN PEDRO </w:t>
      </w:r>
      <w:r w:rsidR="003271FD" w:rsidRPr="003271FD">
        <w:rPr>
          <w:rFonts w:ascii="Arial" w:hAnsi="Arial" w:cs="Arial"/>
          <w:b/>
          <w:sz w:val="18"/>
          <w:szCs w:val="18"/>
          <w:lang w:val="es-MX"/>
        </w:rPr>
        <w:t>APÓSTOL</w:t>
      </w:r>
      <w:r w:rsidR="003271FD" w:rsidRPr="003271FD">
        <w:rPr>
          <w:rFonts w:ascii="Arial" w:hAnsi="Arial" w:cs="Arial"/>
          <w:b/>
          <w:sz w:val="18"/>
          <w:szCs w:val="18"/>
          <w:lang w:val="es-MX"/>
        </w:rPr>
        <w:t>, EN LA COLONIA LOMAS DE SAN MIGUEL DEL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4D458F" w:rsidRPr="004D458F">
        <w:rPr>
          <w:rFonts w:ascii="Arial" w:hAnsi="Arial" w:cs="Arial"/>
          <w:b/>
          <w:sz w:val="18"/>
          <w:szCs w:val="18"/>
        </w:rPr>
        <w:t>PROSPET TRANSPORTE PROYECTO Y CONSTRUCCIÓN</w:t>
      </w:r>
      <w:r w:rsidR="001D2F21" w:rsidRPr="00284F14">
        <w:rPr>
          <w:rFonts w:ascii="Arial" w:hAnsi="Arial" w:cs="Arial"/>
          <w:b/>
          <w:sz w:val="18"/>
          <w:szCs w:val="18"/>
        </w:rPr>
        <w:t>, S.A. DE C.V.,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271FD" w:rsidRPr="003271FD">
        <w:rPr>
          <w:rFonts w:ascii="Arial" w:hAnsi="Arial" w:cs="Arial"/>
          <w:b/>
          <w:snapToGrid w:val="0"/>
          <w:sz w:val="18"/>
          <w:szCs w:val="18"/>
          <w:lang w:val="es-MX"/>
        </w:rPr>
        <w:t>$1,109,194.22 (UN MILLÓN CIENTO NUEVE MIL CIENTO NOVENTA Y CUATRO PESOS 22/100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9F" w:rsidRDefault="009A709F" w:rsidP="00FC7096">
      <w:r>
        <w:separator/>
      </w:r>
    </w:p>
  </w:endnote>
  <w:endnote w:type="continuationSeparator" w:id="0">
    <w:p w:rsidR="009A709F" w:rsidRDefault="009A709F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3271FD" w:rsidRPr="003271FD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9F" w:rsidRDefault="009A709F" w:rsidP="00FC7096">
      <w:r>
        <w:separator/>
      </w:r>
    </w:p>
  </w:footnote>
  <w:footnote w:type="continuationSeparator" w:id="0">
    <w:p w:rsidR="009A709F" w:rsidRDefault="009A709F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00782"/>
    <w:rsid w:val="00252056"/>
    <w:rsid w:val="00284F14"/>
    <w:rsid w:val="002B41A2"/>
    <w:rsid w:val="002C3EA4"/>
    <w:rsid w:val="003271FD"/>
    <w:rsid w:val="004C5A5C"/>
    <w:rsid w:val="004D458F"/>
    <w:rsid w:val="004D7515"/>
    <w:rsid w:val="0051117A"/>
    <w:rsid w:val="00516590"/>
    <w:rsid w:val="005851E0"/>
    <w:rsid w:val="00680CE7"/>
    <w:rsid w:val="0072244A"/>
    <w:rsid w:val="007571EA"/>
    <w:rsid w:val="007E1F3A"/>
    <w:rsid w:val="0091296D"/>
    <w:rsid w:val="009304F0"/>
    <w:rsid w:val="00945522"/>
    <w:rsid w:val="009607F6"/>
    <w:rsid w:val="009666E1"/>
    <w:rsid w:val="00973CA6"/>
    <w:rsid w:val="00981B99"/>
    <w:rsid w:val="009A709F"/>
    <w:rsid w:val="00A1201B"/>
    <w:rsid w:val="00A71A65"/>
    <w:rsid w:val="00A85D31"/>
    <w:rsid w:val="00B5042F"/>
    <w:rsid w:val="00B51A32"/>
    <w:rsid w:val="00BC26FC"/>
    <w:rsid w:val="00CF0DEC"/>
    <w:rsid w:val="00CF587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9474-612B-44CB-8C37-CD753F2D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Lidia Marisol Reyes Vazquez</cp:lastModifiedBy>
  <cp:revision>3</cp:revision>
  <cp:lastPrinted>2020-01-14T17:55:00Z</cp:lastPrinted>
  <dcterms:created xsi:type="dcterms:W3CDTF">2020-05-22T17:30:00Z</dcterms:created>
  <dcterms:modified xsi:type="dcterms:W3CDTF">2020-06-01T17:50:00Z</dcterms:modified>
</cp:coreProperties>
</file>