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3A32E5" w:rsidP="000C34E2">
            <w:pPr>
              <w:rPr>
                <w:sz w:val="24"/>
              </w:rPr>
            </w:pPr>
            <w:r>
              <w:rPr>
                <w:sz w:val="24"/>
              </w:rPr>
              <w:t>Dirección de Delegaciones y Agencias Municipales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3A32E5" w:rsidRDefault="00321993" w:rsidP="00321993">
            <w:pPr>
              <w:pStyle w:val="Prrafodelista"/>
              <w:rPr>
                <w:sz w:val="24"/>
              </w:rPr>
            </w:pPr>
            <w:r>
              <w:rPr>
                <w:sz w:val="24"/>
              </w:rPr>
              <w:t>4. Brigadas de Mantenimiento y Recuperación de Espacios Públicos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3A32E5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3A32E5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BC7B89" w:rsidP="00692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BC7B89" w:rsidP="00FB02F7">
            <w:r>
              <w:t>$</w:t>
            </w:r>
            <w:r w:rsidR="00FB02F7">
              <w:t>120,</w:t>
            </w:r>
            <w:r>
              <w:t>000.00</w:t>
            </w:r>
          </w:p>
        </w:tc>
        <w:tc>
          <w:tcPr>
            <w:tcW w:w="2108" w:type="dxa"/>
          </w:tcPr>
          <w:p w:rsidR="006925AB" w:rsidRDefault="00FB02F7" w:rsidP="006925AB">
            <w:pPr>
              <w:jc w:val="center"/>
            </w:pPr>
            <w:r>
              <w:t>11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9213FB" w:rsidRDefault="009213FB" w:rsidP="006D1DAC">
            <w:pPr>
              <w:rPr>
                <w:rFonts w:cstheme="minorHAnsi"/>
                <w:sz w:val="24"/>
                <w:szCs w:val="24"/>
              </w:rPr>
            </w:pPr>
            <w:r w:rsidRPr="009213FB">
              <w:rPr>
                <w:rFonts w:cstheme="minorHAnsi"/>
                <w:sz w:val="24"/>
                <w:szCs w:val="24"/>
              </w:rPr>
              <w:t xml:space="preserve">Mantener las explanadas </w:t>
            </w:r>
            <w:r>
              <w:rPr>
                <w:rFonts w:cstheme="minorHAnsi"/>
                <w:sz w:val="24"/>
                <w:szCs w:val="24"/>
              </w:rPr>
              <w:t>y áreas verdes de las Delegaciones y Agencias Municipales en condiciones aceptables para mejorar la imagen a través de servicios de jardinería, aseo público y mantenimiento</w:t>
            </w:r>
            <w:r w:rsidR="006D1DAC">
              <w:rPr>
                <w:rFonts w:cstheme="minorHAnsi"/>
                <w:sz w:val="24"/>
                <w:szCs w:val="24"/>
              </w:rPr>
              <w:t>, así como brindar apoyo a las dependencias correspondientes a estas actividades en situaciones de emergencia.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0173B0" w:rsidP="00C75E81">
            <w:r>
              <w:t>Descuido y falta de atención en las explanadas y áreas verdes de la Delegaciones y Agencias Municipales</w:t>
            </w:r>
          </w:p>
          <w:p w:rsidR="00D758E5" w:rsidRDefault="00D758E5" w:rsidP="00C1589F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1589F" w:rsidRDefault="000173B0" w:rsidP="00C75E81">
            <w:r>
              <w:t>Delegaciones y Agencias Municipales con explanadas</w:t>
            </w:r>
            <w:r w:rsidR="00622E79">
              <w:t xml:space="preserve"> y áreas verdes dignas y embellecidas.</w:t>
            </w:r>
            <w:r>
              <w:t xml:space="preserve"> </w:t>
            </w:r>
          </w:p>
          <w:p w:rsidR="00D758E5" w:rsidRDefault="00D758E5" w:rsidP="00C1589F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504D70" w:rsidP="00622E79">
            <w:r>
              <w:t xml:space="preserve">Elaboración, aprobación y autorización del Proyecto Ejecutivo. </w:t>
            </w:r>
            <w:r w:rsidR="000012B1">
              <w:t>Organización</w:t>
            </w:r>
            <w:r w:rsidR="00622E79">
              <w:t xml:space="preserve">. </w:t>
            </w:r>
            <w:r w:rsidR="00A40C73">
              <w:t>Calendarización</w:t>
            </w:r>
            <w:bookmarkStart w:id="0" w:name="_GoBack"/>
            <w:bookmarkEnd w:id="0"/>
            <w:r w:rsidR="00622E79">
              <w:t xml:space="preserve"> de los servicios de mantenimiento. </w:t>
            </w:r>
            <w:r w:rsidR="00A40C73">
              <w:t>Preparación</w:t>
            </w:r>
            <w:r w:rsidR="00622E79">
              <w:t xml:space="preserve"> de la logística, recursos financieros, humanos y materiales. Servicio de Mantenimiento a explanadas con podas de </w:t>
            </w:r>
            <w:proofErr w:type="spellStart"/>
            <w:r w:rsidR="00622E79">
              <w:t>arboles</w:t>
            </w:r>
            <w:proofErr w:type="spellEnd"/>
            <w:r w:rsidR="00622E79">
              <w:t xml:space="preserve"> y corte de pasto y Pintura de Fachadas. Fotografía digital. </w:t>
            </w:r>
            <w:r w:rsidR="00A40C73">
              <w:t>Presentación</w:t>
            </w:r>
            <w:r w:rsidR="00622E79">
              <w:t xml:space="preserve"> de informe trimestral. </w:t>
            </w:r>
            <w:r w:rsidR="000012B1">
              <w:t xml:space="preserve"> 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A40C73" w:rsidRDefault="00A40C73" w:rsidP="00C75E81">
            <w:pPr>
              <w:jc w:val="center"/>
              <w:rPr>
                <w:rFonts w:ascii="Arial" w:hAnsi="Arial" w:cs="Arial"/>
                <w:color w:val="000000"/>
              </w:rPr>
            </w:pPr>
            <w:r w:rsidRPr="00A40C73">
              <w:rPr>
                <w:rFonts w:ascii="Arial" w:hAnsi="Arial" w:cs="Arial"/>
                <w:color w:val="000000"/>
              </w:rPr>
              <w:t>No. De brigadas programadas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A40C73" w:rsidRDefault="00A40C73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0C73">
              <w:rPr>
                <w:rFonts w:ascii="Arial" w:hAnsi="Arial" w:cs="Arial"/>
                <w:color w:val="000000"/>
                <w:sz w:val="24"/>
                <w:szCs w:val="24"/>
              </w:rPr>
              <w:t>No. De brigadas realizadas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40C73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0C73">
              <w:rPr>
                <w:rFonts w:ascii="Arial" w:hAnsi="Arial" w:cs="Arial"/>
                <w:color w:val="000000"/>
                <w:sz w:val="24"/>
                <w:szCs w:val="24"/>
              </w:rPr>
              <w:t>Porcentaje de Avance</w:t>
            </w:r>
          </w:p>
          <w:p w:rsidR="00A40C73" w:rsidRDefault="00A40C73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40C73" w:rsidRPr="00A40C73" w:rsidRDefault="00A40C73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622E79" w:rsidRDefault="00622E79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416B9D" w:rsidP="00416B9D">
            <w:r>
              <w:t xml:space="preserve">Elaboración, aprobación y  autorización del Proyecto Ejecutivo 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416B9D" w:rsidP="00C75E81">
            <w:pPr>
              <w:jc w:val="center"/>
              <w:rPr>
                <w:sz w:val="24"/>
                <w:szCs w:val="24"/>
              </w:rPr>
            </w:pPr>
            <w:r w:rsidRPr="00416B9D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416B9D" w:rsidP="00C75E81">
            <w:pPr>
              <w:jc w:val="center"/>
              <w:rPr>
                <w:sz w:val="24"/>
                <w:szCs w:val="24"/>
              </w:rPr>
            </w:pPr>
            <w:r w:rsidRPr="00416B9D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C93110" w:rsidP="00C75E81">
            <w:r>
              <w:t>Calendarización de los servicios de mantenimiento</w:t>
            </w:r>
          </w:p>
          <w:p w:rsidR="00C93110" w:rsidRPr="00A316F5" w:rsidRDefault="00C93110" w:rsidP="00C75E81"/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B0569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B0569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93110" w:rsidP="00C75E81">
            <w:r>
              <w:t>Preparación de la logística , recursos financieros, humanos y materiales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C931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C931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C931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C931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C931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C931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416B9D" w:rsidRDefault="00C931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416B9D" w:rsidRDefault="00C931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C931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C931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416B9D" w:rsidRDefault="00C931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93110" w:rsidP="00C75E81">
            <w:r>
              <w:t>Servicio de mantenimiento a explanadas con podas de árboles y corte de pasto y pintura de fachadas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C931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05699" w:rsidRPr="00A316F5" w:rsidRDefault="000F100A" w:rsidP="00B05699">
            <w:r>
              <w:t>Fotografía Digital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F6D5C" w:rsidP="00C75E81">
            <w:r>
              <w:t>Presentación</w:t>
            </w:r>
            <w:r w:rsidR="000F100A">
              <w:t xml:space="preserve"> de informe Trimestral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0F100A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B05699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05699" w:rsidRDefault="00B05699" w:rsidP="00B05699"/>
        </w:tc>
        <w:tc>
          <w:tcPr>
            <w:tcW w:w="259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B05699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05699" w:rsidRDefault="00B05699" w:rsidP="00BB3DFE"/>
        </w:tc>
        <w:tc>
          <w:tcPr>
            <w:tcW w:w="259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B05699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05699" w:rsidRDefault="00B05699" w:rsidP="00C75E81"/>
        </w:tc>
        <w:tc>
          <w:tcPr>
            <w:tcW w:w="259" w:type="pct"/>
            <w:shd w:val="clear" w:color="auto" w:fill="auto"/>
          </w:tcPr>
          <w:p w:rsidR="00B05699" w:rsidRDefault="00B05699" w:rsidP="00C75E81">
            <w:pPr>
              <w:jc w:val="center"/>
              <w:rPr>
                <w:sz w:val="24"/>
                <w:szCs w:val="24"/>
              </w:rPr>
            </w:pPr>
          </w:p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05699" w:rsidRPr="00416B9D" w:rsidRDefault="00B05699" w:rsidP="00C7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9C" w:rsidRDefault="00D3089C" w:rsidP="00985B24">
      <w:pPr>
        <w:spacing w:after="0" w:line="240" w:lineRule="auto"/>
      </w:pPr>
      <w:r>
        <w:separator/>
      </w:r>
    </w:p>
  </w:endnote>
  <w:endnote w:type="continuationSeparator" w:id="0">
    <w:p w:rsidR="00D3089C" w:rsidRDefault="00D3089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40C73" w:rsidRPr="00A40C73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40C73" w:rsidRPr="00A40C73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9C" w:rsidRDefault="00D3089C" w:rsidP="00985B24">
      <w:pPr>
        <w:spacing w:after="0" w:line="240" w:lineRule="auto"/>
      </w:pPr>
      <w:r>
        <w:separator/>
      </w:r>
    </w:p>
  </w:footnote>
  <w:footnote w:type="continuationSeparator" w:id="0">
    <w:p w:rsidR="00D3089C" w:rsidRDefault="00D3089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D3EE3"/>
    <w:multiLevelType w:val="hybridMultilevel"/>
    <w:tmpl w:val="E9863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2B1"/>
    <w:rsid w:val="000173B0"/>
    <w:rsid w:val="00031BE1"/>
    <w:rsid w:val="00055E9C"/>
    <w:rsid w:val="00061287"/>
    <w:rsid w:val="00071F00"/>
    <w:rsid w:val="000843BC"/>
    <w:rsid w:val="000C34E2"/>
    <w:rsid w:val="000C391B"/>
    <w:rsid w:val="000F100A"/>
    <w:rsid w:val="00112287"/>
    <w:rsid w:val="001324C2"/>
    <w:rsid w:val="00144C96"/>
    <w:rsid w:val="001473C9"/>
    <w:rsid w:val="001A597F"/>
    <w:rsid w:val="001F5170"/>
    <w:rsid w:val="00210BB5"/>
    <w:rsid w:val="00233105"/>
    <w:rsid w:val="00244586"/>
    <w:rsid w:val="0024680E"/>
    <w:rsid w:val="002F08F4"/>
    <w:rsid w:val="002F5975"/>
    <w:rsid w:val="00321993"/>
    <w:rsid w:val="003A32E5"/>
    <w:rsid w:val="00416B9D"/>
    <w:rsid w:val="00417D61"/>
    <w:rsid w:val="00476A3C"/>
    <w:rsid w:val="004B1033"/>
    <w:rsid w:val="005014C2"/>
    <w:rsid w:val="00504D70"/>
    <w:rsid w:val="0057477E"/>
    <w:rsid w:val="005B7A11"/>
    <w:rsid w:val="005C50F9"/>
    <w:rsid w:val="005F6BB1"/>
    <w:rsid w:val="00613CE2"/>
    <w:rsid w:val="00622E79"/>
    <w:rsid w:val="006560DD"/>
    <w:rsid w:val="0068072A"/>
    <w:rsid w:val="006925AB"/>
    <w:rsid w:val="006D1DAC"/>
    <w:rsid w:val="007206CD"/>
    <w:rsid w:val="0076351F"/>
    <w:rsid w:val="007846EA"/>
    <w:rsid w:val="007D08A5"/>
    <w:rsid w:val="007E72C1"/>
    <w:rsid w:val="008824CC"/>
    <w:rsid w:val="0089051B"/>
    <w:rsid w:val="008A3650"/>
    <w:rsid w:val="009076EF"/>
    <w:rsid w:val="009213FB"/>
    <w:rsid w:val="00946B9B"/>
    <w:rsid w:val="009676D9"/>
    <w:rsid w:val="00985B24"/>
    <w:rsid w:val="009A2296"/>
    <w:rsid w:val="009B23B5"/>
    <w:rsid w:val="00A248DA"/>
    <w:rsid w:val="00A40C73"/>
    <w:rsid w:val="00A624F2"/>
    <w:rsid w:val="00A65BAF"/>
    <w:rsid w:val="00A67619"/>
    <w:rsid w:val="00A80D75"/>
    <w:rsid w:val="00AA22B4"/>
    <w:rsid w:val="00AD6073"/>
    <w:rsid w:val="00B05699"/>
    <w:rsid w:val="00B15ABE"/>
    <w:rsid w:val="00B3346E"/>
    <w:rsid w:val="00B64EE1"/>
    <w:rsid w:val="00BB3A69"/>
    <w:rsid w:val="00BB3DFE"/>
    <w:rsid w:val="00BC7B89"/>
    <w:rsid w:val="00BD0CE5"/>
    <w:rsid w:val="00C1589F"/>
    <w:rsid w:val="00C3660A"/>
    <w:rsid w:val="00C93110"/>
    <w:rsid w:val="00CB30CB"/>
    <w:rsid w:val="00CF6D5C"/>
    <w:rsid w:val="00D3089C"/>
    <w:rsid w:val="00D37300"/>
    <w:rsid w:val="00D758E5"/>
    <w:rsid w:val="00D86FEF"/>
    <w:rsid w:val="00D8768D"/>
    <w:rsid w:val="00D92F89"/>
    <w:rsid w:val="00DB6F51"/>
    <w:rsid w:val="00E15ED0"/>
    <w:rsid w:val="00E40804"/>
    <w:rsid w:val="00F10C4B"/>
    <w:rsid w:val="00F11932"/>
    <w:rsid w:val="00F37D03"/>
    <w:rsid w:val="00F62B11"/>
    <w:rsid w:val="00FB02F7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E5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E5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2139-988D-4B86-89B8-A1F55622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San_Sebastianito</cp:lastModifiedBy>
  <cp:revision>6</cp:revision>
  <cp:lastPrinted>2019-11-13T17:21:00Z</cp:lastPrinted>
  <dcterms:created xsi:type="dcterms:W3CDTF">2019-11-15T18:58:00Z</dcterms:created>
  <dcterms:modified xsi:type="dcterms:W3CDTF">2020-01-29T16:23:00Z</dcterms:modified>
</cp:coreProperties>
</file>