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3A32E5" w:rsidP="000C34E2">
            <w:pPr>
              <w:rPr>
                <w:sz w:val="24"/>
              </w:rPr>
            </w:pPr>
            <w:r>
              <w:rPr>
                <w:sz w:val="24"/>
              </w:rPr>
              <w:t>Dirección de Delegaciones y Agencias Municipales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3A32E5" w:rsidRDefault="003A32E5" w:rsidP="003A32E5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FESTIVIDADES TRADICIONALES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3A32E5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3A32E5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BC7B89" w:rsidP="006925A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BC7B89" w:rsidP="006925AB">
            <w:r>
              <w:t>$840,000.00</w:t>
            </w:r>
          </w:p>
        </w:tc>
        <w:tc>
          <w:tcPr>
            <w:tcW w:w="2108" w:type="dxa"/>
          </w:tcPr>
          <w:p w:rsidR="006925AB" w:rsidRDefault="00BC7B89" w:rsidP="006925AB">
            <w:pPr>
              <w:jc w:val="center"/>
            </w:pPr>
            <w:r>
              <w:t>7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846EA" w:rsidRDefault="007846EA" w:rsidP="007846EA">
            <w:r>
              <w:rPr>
                <w:color w:val="000000"/>
                <w:sz w:val="27"/>
                <w:szCs w:val="27"/>
              </w:rPr>
              <w:t>Fortalecer la convivencia familiar y la cohesión comunitaria y social a través de la celebración de eventos tradicionales, como lo son: Rosca de Reyes, Desfile de la Primavera, Día del Niño, Día de la Madre, Día del Padre, Día de Muertos y Posada Navideña.</w:t>
            </w:r>
          </w:p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C1589F" w:rsidP="00C1589F">
            <w:r>
              <w:t>Continuidad en las celebraciones de Festividades Tradicionales para seguir recuperando el arraigo que día a día habían perdido  valor en la sociedad.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1589F" w:rsidRDefault="00C1589F" w:rsidP="00C75E81"/>
          <w:p w:rsidR="00D758E5" w:rsidRDefault="00D92F89" w:rsidP="00C1589F">
            <w:r>
              <w:t>Celebración de Festividades Tradicionales, como coadyuvantes de la conti</w:t>
            </w:r>
            <w:r w:rsidR="00F37D03">
              <w:t>nuidad  de tradiciones y mecanismo de fortalecimiento de la convivencia  y cohesión del tejido social.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1589F" w:rsidRDefault="00C1589F" w:rsidP="00DB6F51"/>
          <w:p w:rsidR="00D758E5" w:rsidRDefault="00504D70" w:rsidP="00DB6F51">
            <w:r>
              <w:t xml:space="preserve">Elaboración, aprobación y autorización del Proyecto Ejecutivo. </w:t>
            </w:r>
            <w:r w:rsidR="000012B1">
              <w:t xml:space="preserve">Organización y celebración de eventos: </w:t>
            </w:r>
            <w:r w:rsidR="00DB6F51">
              <w:t>Día</w:t>
            </w:r>
            <w:r w:rsidR="000012B1">
              <w:t xml:space="preserve"> de Muertos, Posadas Navideñas, Rosca de Reyes, Desfile de la Primavera, </w:t>
            </w:r>
            <w:r w:rsidR="00DB6F51">
              <w:t>Día</w:t>
            </w:r>
            <w:r w:rsidR="000012B1">
              <w:t xml:space="preserve"> del Niño, </w:t>
            </w:r>
            <w:r w:rsidR="00DB6F51">
              <w:t>Día</w:t>
            </w:r>
            <w:r w:rsidR="000012B1">
              <w:t xml:space="preserve"> de la Madre, </w:t>
            </w:r>
            <w:r w:rsidR="00DB6F51">
              <w:t>Día</w:t>
            </w:r>
            <w:r w:rsidR="000012B1">
              <w:t xml:space="preserve"> del Padre</w:t>
            </w:r>
            <w:r w:rsidR="00DB6F51">
              <w:t>. Memoria Digital de los eventos. Presentación de informe trimestral</w:t>
            </w:r>
            <w:r w:rsidR="00C1589F">
              <w:t>.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E17101" w:rsidRDefault="00E17101" w:rsidP="00C75E81">
            <w:pPr>
              <w:jc w:val="center"/>
              <w:rPr>
                <w:b/>
              </w:rPr>
            </w:pPr>
          </w:p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E17101" w:rsidRDefault="00E17101" w:rsidP="00C75E81">
            <w:pPr>
              <w:jc w:val="center"/>
              <w:rPr>
                <w:b/>
              </w:rPr>
            </w:pPr>
          </w:p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37582E" w:rsidP="0037582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7582E">
              <w:rPr>
                <w:rFonts w:ascii="Arial" w:hAnsi="Arial" w:cs="Arial"/>
                <w:color w:val="000000"/>
                <w:sz w:val="24"/>
                <w:szCs w:val="24"/>
              </w:rPr>
              <w:t>Eventos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Programados</w:t>
            </w:r>
          </w:p>
          <w:p w:rsidR="00E17101" w:rsidRPr="00E17101" w:rsidRDefault="00E17101" w:rsidP="00E171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7101" w:rsidRPr="0037582E" w:rsidRDefault="00E17101" w:rsidP="0037582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No. personas </w:t>
            </w:r>
            <w:r w:rsidR="00DB485B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sistentes Programadas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E17101" w:rsidRDefault="0037582E" w:rsidP="00C75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7101">
              <w:rPr>
                <w:rFonts w:ascii="Arial" w:hAnsi="Arial" w:cs="Arial"/>
                <w:color w:val="000000"/>
                <w:sz w:val="24"/>
                <w:szCs w:val="24"/>
              </w:rPr>
              <w:t>Eventos Realizados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17101" w:rsidRPr="00E17101" w:rsidRDefault="00E17101" w:rsidP="00C75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7101">
              <w:rPr>
                <w:rFonts w:ascii="Arial" w:hAnsi="Arial" w:cs="Arial"/>
                <w:color w:val="000000"/>
                <w:sz w:val="24"/>
                <w:szCs w:val="24"/>
              </w:rPr>
              <w:t>No. De personas asistentes</w:t>
            </w:r>
          </w:p>
          <w:p w:rsidR="00E17101" w:rsidRDefault="00E17101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101" w:rsidRDefault="00E17101" w:rsidP="00C75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7101" w:rsidRDefault="00E17101" w:rsidP="00C75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758E5" w:rsidRDefault="0037582E" w:rsidP="00C75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7101">
              <w:rPr>
                <w:rFonts w:ascii="Arial" w:hAnsi="Arial" w:cs="Arial"/>
                <w:color w:val="000000"/>
                <w:sz w:val="24"/>
                <w:szCs w:val="24"/>
              </w:rPr>
              <w:t>Porcentaje de avance</w:t>
            </w:r>
          </w:p>
          <w:p w:rsidR="00E17101" w:rsidRDefault="00E17101" w:rsidP="00C75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7101" w:rsidRDefault="00E17101" w:rsidP="00E1710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7101">
              <w:rPr>
                <w:rFonts w:ascii="Arial" w:hAnsi="Arial" w:cs="Arial"/>
                <w:color w:val="000000"/>
                <w:sz w:val="24"/>
                <w:szCs w:val="24"/>
              </w:rPr>
              <w:t>Porcentaje de avance</w:t>
            </w:r>
          </w:p>
          <w:p w:rsidR="00E17101" w:rsidRDefault="00E17101" w:rsidP="00C75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7101" w:rsidRDefault="00E17101" w:rsidP="00C75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7101" w:rsidRDefault="00E17101" w:rsidP="00C75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17101" w:rsidRPr="00E17101" w:rsidRDefault="00E17101" w:rsidP="00C75E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lastRenderedPageBreak/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416B9D" w:rsidP="00416B9D">
            <w:r>
              <w:t xml:space="preserve">Elaboración, aprobación y  autorización del Proyecto Ejecutivo 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416B9D" w:rsidP="00C75E81">
            <w:pPr>
              <w:jc w:val="center"/>
              <w:rPr>
                <w:sz w:val="24"/>
                <w:szCs w:val="24"/>
              </w:rPr>
            </w:pPr>
            <w:r w:rsidRPr="00416B9D"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416B9D" w:rsidRDefault="00416B9D" w:rsidP="00C75E81">
            <w:pPr>
              <w:jc w:val="center"/>
              <w:rPr>
                <w:sz w:val="24"/>
                <w:szCs w:val="24"/>
              </w:rPr>
            </w:pPr>
            <w:r w:rsidRPr="00416B9D"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D758E5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416B9D" w:rsidP="00C75E81">
            <w:r>
              <w:t xml:space="preserve">Preparación de la logística necesaria 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B0569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B05699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BB3DFE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BB3DFE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BB3DFE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416B9D" w:rsidRDefault="00BB3DFE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416B9D" w:rsidRDefault="00BB3DFE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416B9D" w:rsidRDefault="00BB3DFE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BB3DFE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416B9D" w:rsidRDefault="00BB3DFE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416B9D" w:rsidRDefault="00BB3DFE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758E5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F62C10" w:rsidP="00C75E81">
            <w:r>
              <w:t>DIA DE MUERTOS</w:t>
            </w:r>
          </w:p>
        </w:tc>
        <w:tc>
          <w:tcPr>
            <w:tcW w:w="25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F62C10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416B9D" w:rsidRDefault="00D758E5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F62C10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62C10" w:rsidRDefault="00F62C10" w:rsidP="00DA12FC"/>
          <w:p w:rsidR="00F62C10" w:rsidRPr="00A316F5" w:rsidRDefault="00F62C10" w:rsidP="00DA12FC">
            <w:r>
              <w:t>POSADA NAVIDEÑA</w:t>
            </w:r>
          </w:p>
        </w:tc>
        <w:tc>
          <w:tcPr>
            <w:tcW w:w="259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F62C10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62C10" w:rsidRDefault="00F62C10" w:rsidP="00DA12FC"/>
          <w:p w:rsidR="00F62C10" w:rsidRPr="00A316F5" w:rsidRDefault="00F62C10" w:rsidP="00DA12FC">
            <w:r>
              <w:t>ROSCA DE REYES</w:t>
            </w:r>
          </w:p>
        </w:tc>
        <w:tc>
          <w:tcPr>
            <w:tcW w:w="259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F62C10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62C10" w:rsidRDefault="00F62C10" w:rsidP="00DA12FC"/>
          <w:p w:rsidR="00F62C10" w:rsidRPr="00A316F5" w:rsidRDefault="00F62C10" w:rsidP="00DA12FC">
            <w:r>
              <w:t>DESFILE DE LA PRIMAVERA</w:t>
            </w:r>
          </w:p>
        </w:tc>
        <w:tc>
          <w:tcPr>
            <w:tcW w:w="259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F62C10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62C10" w:rsidRDefault="00F62C10" w:rsidP="00DA12FC"/>
          <w:p w:rsidR="00F62C10" w:rsidRPr="00A316F5" w:rsidRDefault="00F62C10" w:rsidP="00DA12FC">
            <w:r>
              <w:t>DIA DEL NIÑO</w:t>
            </w:r>
          </w:p>
        </w:tc>
        <w:tc>
          <w:tcPr>
            <w:tcW w:w="259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F62C10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62C10" w:rsidRDefault="00F62C10" w:rsidP="00DA12FC"/>
          <w:p w:rsidR="00F62C10" w:rsidRPr="00A316F5" w:rsidRDefault="00F62C10" w:rsidP="00DA12FC">
            <w:r>
              <w:t>DIA DE LA MADRE</w:t>
            </w:r>
          </w:p>
        </w:tc>
        <w:tc>
          <w:tcPr>
            <w:tcW w:w="259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F62C10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62C10" w:rsidRDefault="00F62C10" w:rsidP="00DA12FC"/>
          <w:p w:rsidR="00F62C10" w:rsidRPr="00A316F5" w:rsidRDefault="00F62C10" w:rsidP="00DA12FC">
            <w:r>
              <w:t>DIA DEL PADRE</w:t>
            </w:r>
          </w:p>
        </w:tc>
        <w:tc>
          <w:tcPr>
            <w:tcW w:w="259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F62C10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62C10" w:rsidRDefault="00F62C10" w:rsidP="00DA12FC"/>
          <w:p w:rsidR="00F62C10" w:rsidRDefault="00F62C10" w:rsidP="00DA12FC"/>
        </w:tc>
        <w:tc>
          <w:tcPr>
            <w:tcW w:w="259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</w:tr>
      <w:tr w:rsidR="00F62C10" w:rsidRPr="00416B9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62C10" w:rsidRDefault="00F62C10" w:rsidP="00C75E81"/>
        </w:tc>
        <w:tc>
          <w:tcPr>
            <w:tcW w:w="259" w:type="pct"/>
            <w:shd w:val="clear" w:color="auto" w:fill="auto"/>
          </w:tcPr>
          <w:p w:rsidR="00F62C10" w:rsidRDefault="00F62C10" w:rsidP="00C75E81">
            <w:pPr>
              <w:jc w:val="center"/>
              <w:rPr>
                <w:sz w:val="24"/>
                <w:szCs w:val="24"/>
              </w:rPr>
            </w:pPr>
          </w:p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F62C10" w:rsidRPr="00416B9D" w:rsidRDefault="00F62C10" w:rsidP="00C75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9"/>
      <w:foot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AA" w:rsidRDefault="00874BAA" w:rsidP="00985B24">
      <w:pPr>
        <w:spacing w:after="0" w:line="240" w:lineRule="auto"/>
      </w:pPr>
      <w:r>
        <w:separator/>
      </w:r>
    </w:p>
  </w:endnote>
  <w:endnote w:type="continuationSeparator" w:id="0">
    <w:p w:rsidR="00874BAA" w:rsidRDefault="00874BA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B485B" w:rsidRPr="00DB485B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B485B" w:rsidRPr="00DB485B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AA" w:rsidRDefault="00874BAA" w:rsidP="00985B24">
      <w:pPr>
        <w:spacing w:after="0" w:line="240" w:lineRule="auto"/>
      </w:pPr>
      <w:r>
        <w:separator/>
      </w:r>
    </w:p>
  </w:footnote>
  <w:footnote w:type="continuationSeparator" w:id="0">
    <w:p w:rsidR="00874BAA" w:rsidRDefault="00874BA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87C71"/>
    <w:multiLevelType w:val="hybridMultilevel"/>
    <w:tmpl w:val="CAB073F4"/>
    <w:lvl w:ilvl="0" w:tplc="BE7C4448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D3EE3"/>
    <w:multiLevelType w:val="hybridMultilevel"/>
    <w:tmpl w:val="E9863E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12B1"/>
    <w:rsid w:val="00031BE1"/>
    <w:rsid w:val="00055E9C"/>
    <w:rsid w:val="00061287"/>
    <w:rsid w:val="00071F00"/>
    <w:rsid w:val="000843BC"/>
    <w:rsid w:val="000C34E2"/>
    <w:rsid w:val="000C391B"/>
    <w:rsid w:val="000F5F4E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37582E"/>
    <w:rsid w:val="003A32E5"/>
    <w:rsid w:val="00416B9D"/>
    <w:rsid w:val="00417D61"/>
    <w:rsid w:val="00476A3C"/>
    <w:rsid w:val="004B1033"/>
    <w:rsid w:val="005014C2"/>
    <w:rsid w:val="00504D70"/>
    <w:rsid w:val="0057477E"/>
    <w:rsid w:val="005B7A11"/>
    <w:rsid w:val="005C50F9"/>
    <w:rsid w:val="005F6BB1"/>
    <w:rsid w:val="00613CE2"/>
    <w:rsid w:val="006560DD"/>
    <w:rsid w:val="0068072A"/>
    <w:rsid w:val="006925AB"/>
    <w:rsid w:val="007206CD"/>
    <w:rsid w:val="0076351F"/>
    <w:rsid w:val="007846EA"/>
    <w:rsid w:val="007D08A5"/>
    <w:rsid w:val="007E72C1"/>
    <w:rsid w:val="00874BAA"/>
    <w:rsid w:val="008824CC"/>
    <w:rsid w:val="0089051B"/>
    <w:rsid w:val="008A3650"/>
    <w:rsid w:val="009076EF"/>
    <w:rsid w:val="00946B9B"/>
    <w:rsid w:val="00985B24"/>
    <w:rsid w:val="009A2296"/>
    <w:rsid w:val="009B23B5"/>
    <w:rsid w:val="00A248DA"/>
    <w:rsid w:val="00A51191"/>
    <w:rsid w:val="00A624F2"/>
    <w:rsid w:val="00A65BAF"/>
    <w:rsid w:val="00A67619"/>
    <w:rsid w:val="00A80D75"/>
    <w:rsid w:val="00AA22B4"/>
    <w:rsid w:val="00AD6073"/>
    <w:rsid w:val="00B05699"/>
    <w:rsid w:val="00B15ABE"/>
    <w:rsid w:val="00B3346E"/>
    <w:rsid w:val="00B64EE1"/>
    <w:rsid w:val="00BB3A69"/>
    <w:rsid w:val="00BB3DFE"/>
    <w:rsid w:val="00BC7B89"/>
    <w:rsid w:val="00BD0CE5"/>
    <w:rsid w:val="00C1589F"/>
    <w:rsid w:val="00C3660A"/>
    <w:rsid w:val="00C974C5"/>
    <w:rsid w:val="00CB30CB"/>
    <w:rsid w:val="00D37300"/>
    <w:rsid w:val="00D758E5"/>
    <w:rsid w:val="00D86FEF"/>
    <w:rsid w:val="00D8768D"/>
    <w:rsid w:val="00D92F89"/>
    <w:rsid w:val="00DB485B"/>
    <w:rsid w:val="00DB6F51"/>
    <w:rsid w:val="00E17101"/>
    <w:rsid w:val="00E40804"/>
    <w:rsid w:val="00F10C4B"/>
    <w:rsid w:val="00F11932"/>
    <w:rsid w:val="00F37D03"/>
    <w:rsid w:val="00F62B11"/>
    <w:rsid w:val="00F62C10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2E5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2E5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49D5-C8B2-4A4E-9E5C-3888DD24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San_Sebastianito</cp:lastModifiedBy>
  <cp:revision>4</cp:revision>
  <cp:lastPrinted>2019-11-13T17:21:00Z</cp:lastPrinted>
  <dcterms:created xsi:type="dcterms:W3CDTF">2019-11-14T15:58:00Z</dcterms:created>
  <dcterms:modified xsi:type="dcterms:W3CDTF">2020-01-29T16:11:00Z</dcterms:modified>
</cp:coreProperties>
</file>