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5478A" w:rsidTr="00A248DA">
        <w:tc>
          <w:tcPr>
            <w:tcW w:w="1441" w:type="dxa"/>
            <w:shd w:val="clear" w:color="auto" w:fill="D9D9D9" w:themeFill="background1" w:themeFillShade="D9"/>
          </w:tcPr>
          <w:p w:rsidR="00A5478A" w:rsidRPr="005C396B" w:rsidRDefault="00A5478A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5478A" w:rsidRPr="005C396B" w:rsidRDefault="00A5478A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5478A" w:rsidRDefault="00A5478A" w:rsidP="000C2902">
            <w:r>
              <w:t>Jefatura de Mejora Regulatoria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5478A" w:rsidRDefault="00A5478A" w:rsidP="000C34E2">
            <w:pPr>
              <w:jc w:val="right"/>
              <w:rPr>
                <w:b/>
                <w:sz w:val="24"/>
              </w:rPr>
            </w:pPr>
          </w:p>
          <w:p w:rsidR="00A5478A" w:rsidRPr="00970FDC" w:rsidRDefault="00A5478A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5478A" w:rsidTr="00A248DA">
        <w:tc>
          <w:tcPr>
            <w:tcW w:w="1441" w:type="dxa"/>
            <w:shd w:val="clear" w:color="auto" w:fill="D9D9D9" w:themeFill="background1" w:themeFillShade="D9"/>
          </w:tcPr>
          <w:p w:rsidR="00A5478A" w:rsidRPr="005C396B" w:rsidRDefault="00A5478A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5478A" w:rsidRDefault="00A5478A" w:rsidP="000C2902">
            <w:r>
              <w:t>Mejora Regulatoria en la Administración Pública Municipal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5478A" w:rsidRDefault="00A5478A" w:rsidP="000C34E2"/>
        </w:tc>
      </w:tr>
      <w:tr w:rsidR="00A5478A" w:rsidTr="00A248DA">
        <w:tc>
          <w:tcPr>
            <w:tcW w:w="1441" w:type="dxa"/>
            <w:shd w:val="clear" w:color="auto" w:fill="FBD4B4" w:themeFill="accent6" w:themeFillTint="66"/>
          </w:tcPr>
          <w:p w:rsidR="00A5478A" w:rsidRPr="005C396B" w:rsidRDefault="00A5478A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5478A" w:rsidRPr="005C396B" w:rsidRDefault="00A5478A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729009" wp14:editId="6C0C8C1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A5478A" w:rsidRPr="005C396B" w:rsidRDefault="00A5478A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5478A" w:rsidRPr="005C396B" w:rsidRDefault="00A5478A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678B53" wp14:editId="7758CCB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78A" w:rsidRDefault="00971E59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5478A" w:rsidRDefault="00971E59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5478A" w:rsidRPr="005C396B" w:rsidRDefault="00A5478A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B3437B" wp14:editId="0C3090D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78A" w:rsidRDefault="00A5478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5478A" w:rsidRDefault="00A5478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5478A" w:rsidRDefault="00A5478A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A5478A" w:rsidRPr="005C396B" w:rsidRDefault="00A5478A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A5478A" w:rsidRPr="005C396B" w:rsidRDefault="00A5478A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5478A" w:rsidRPr="005C396B" w:rsidRDefault="00A5478A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5478A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A5478A" w:rsidRDefault="00A5478A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A5478A" w:rsidRPr="001777B2" w:rsidRDefault="00A5478A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A5478A" w:rsidRDefault="00A5478A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3142B3" wp14:editId="02D8A88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78A" w:rsidRDefault="00A5478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5478A" w:rsidRDefault="00A5478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A5478A" w:rsidRDefault="00A5478A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5478A" w:rsidRDefault="00A5478A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C5A17A" wp14:editId="54D090C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78A" w:rsidRDefault="00A5478A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A5478A" w:rsidRDefault="00A5478A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A5478A" w:rsidRDefault="00A5478A" w:rsidP="006925AB"/>
        </w:tc>
        <w:tc>
          <w:tcPr>
            <w:tcW w:w="2108" w:type="dxa"/>
          </w:tcPr>
          <w:p w:rsidR="00A5478A" w:rsidRDefault="00A5478A" w:rsidP="006925AB">
            <w:pPr>
              <w:jc w:val="center"/>
            </w:pPr>
          </w:p>
        </w:tc>
      </w:tr>
      <w:tr w:rsidR="00A5478A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A5478A" w:rsidRPr="001777B2" w:rsidRDefault="00A5478A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5478A" w:rsidRPr="007E72C1" w:rsidRDefault="00A5478A" w:rsidP="000C34E2">
            <w:pPr>
              <w:rPr>
                <w:b/>
              </w:rPr>
            </w:pPr>
          </w:p>
        </w:tc>
      </w:tr>
      <w:tr w:rsidR="00A5478A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5478A" w:rsidRPr="00C76E9F" w:rsidRDefault="00A5478A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01183" w:rsidRDefault="0084062C" w:rsidP="00801183">
            <w:pPr>
              <w:jc w:val="both"/>
            </w:pPr>
            <w:bookmarkStart w:id="0" w:name="_GoBack"/>
            <w:bookmarkEnd w:id="0"/>
            <w:r>
              <w:t xml:space="preserve">Actualizar las estrategias administrativas que conlleven a la generación </w:t>
            </w:r>
            <w:r w:rsidR="00922BB5">
              <w:t xml:space="preserve">de normas claras, de trámites, </w:t>
            </w:r>
            <w:r>
              <w:t>servicios</w:t>
            </w:r>
            <w:r w:rsidR="00922BB5">
              <w:t xml:space="preserve"> y regulaciones</w:t>
            </w:r>
            <w:r>
              <w:t xml:space="preserve"> simplificados, así como de instituciones eficaces para su creación y aplicación, que se orienten a obtener el mayor valor posible de los recursos disponibles y del óptimo funcionamiento de las actividades</w:t>
            </w:r>
            <w:r w:rsidR="00801183">
              <w:t xml:space="preserve">. </w:t>
            </w:r>
            <w:r w:rsidR="00801183">
              <w:t>Generando mayor confianza y asertividad con el ciudadano.</w:t>
            </w:r>
          </w:p>
          <w:p w:rsidR="0084062C" w:rsidRPr="00A5478A" w:rsidRDefault="0084062C" w:rsidP="002A6B83">
            <w:pPr>
              <w:jc w:val="both"/>
            </w:pPr>
          </w:p>
        </w:tc>
      </w:tr>
      <w:tr w:rsidR="00A5478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5478A" w:rsidRPr="00C76E9F" w:rsidRDefault="00A5478A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5478A" w:rsidRPr="00A5478A" w:rsidRDefault="00A5478A" w:rsidP="006925AB">
            <w:r>
              <w:t>7.1. Gobierno confiable para la ciudadanía.</w:t>
            </w:r>
          </w:p>
        </w:tc>
      </w:tr>
      <w:tr w:rsidR="00A5478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5478A" w:rsidRPr="00C76E9F" w:rsidRDefault="00A5478A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5478A" w:rsidRPr="00A5478A" w:rsidRDefault="00A5478A" w:rsidP="00A5478A">
            <w:pPr>
              <w:spacing w:after="5" w:line="269" w:lineRule="auto"/>
              <w:ind w:right="74"/>
              <w:jc w:val="both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7.1.6 </w:t>
            </w:r>
            <w:r w:rsidRPr="00F87A74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Asegurar que la atención en trámites y servicios sea homologada y se realice de forma eficiente, amable e incluyente a toda persona que los solicite bajo el principio de inclusión universal.  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A6B83" w:rsidP="0084062C">
            <w:pPr>
              <w:jc w:val="both"/>
            </w:pPr>
            <w:r>
              <w:t>Exceso de trámites</w:t>
            </w:r>
            <w:r w:rsidR="00A006C4">
              <w:t xml:space="preserve">, poco agiles, en ocasiones costosos e ineficaces  y a discrecionalidad de servidores públicos; </w:t>
            </w:r>
            <w:r w:rsidR="0084062C">
              <w:t>abriendo</w:t>
            </w:r>
            <w:r w:rsidR="00A006C4">
              <w:t xml:space="preserve"> espacios susceptibles a la corrupción, que obstaculizan las actividades de  ciudadanos y empresarios.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8A1303" w:rsidP="008A1303">
            <w:pPr>
              <w:jc w:val="both"/>
            </w:pPr>
            <w:r>
              <w:t>T</w:t>
            </w:r>
            <w:r w:rsidR="00922BB5">
              <w:t>rámites,</w:t>
            </w:r>
            <w:r>
              <w:t xml:space="preserve"> servicios </w:t>
            </w:r>
            <w:r w:rsidR="00922BB5">
              <w:t xml:space="preserve">y regulaciones </w:t>
            </w:r>
            <w:r>
              <w:t>simplificados con procesos ágiles y normas claras.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22BB5" w:rsidRDefault="008A1303" w:rsidP="00922BB5">
            <w:pPr>
              <w:pStyle w:val="Prrafodelista"/>
              <w:numPr>
                <w:ilvl w:val="0"/>
                <w:numId w:val="3"/>
              </w:numPr>
            </w:pPr>
            <w:r>
              <w:t>Diagnóstico de t</w:t>
            </w:r>
            <w:r w:rsidR="00922BB5">
              <w:t xml:space="preserve">rámites, </w:t>
            </w:r>
            <w:r>
              <w:t xml:space="preserve">servicios </w:t>
            </w:r>
            <w:r w:rsidR="00922BB5">
              <w:t xml:space="preserve">y regulaciones </w:t>
            </w:r>
            <w:r>
              <w:t>complejos para los ciudadanos y empresas</w:t>
            </w:r>
            <w:r w:rsidR="00922BB5">
              <w:t>.</w:t>
            </w:r>
          </w:p>
          <w:p w:rsidR="00D758E5" w:rsidRDefault="00D758E5" w:rsidP="00C2656D">
            <w:pPr>
              <w:ind w:left="360"/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22BB5" w:rsidP="00922BB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t>A</w:t>
            </w:r>
            <w:r w:rsidR="008A1303">
              <w:t xml:space="preserve">cciones específicas que </w:t>
            </w:r>
            <w:r>
              <w:t xml:space="preserve">se </w:t>
            </w:r>
            <w:r w:rsidR="008A1303">
              <w:t xml:space="preserve">implementarán </w:t>
            </w:r>
            <w:r>
              <w:t>para la simplificación y transparencia de trámites, servicios y regulaciones.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C2656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2656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C2656D" w:rsidRDefault="00C2656D" w:rsidP="006560DD"/>
    <w:p w:rsidR="00C2656D" w:rsidRDefault="00C2656D" w:rsidP="006560DD"/>
    <w:p w:rsidR="00C2656D" w:rsidRDefault="00C2656D" w:rsidP="006560DD"/>
    <w:p w:rsidR="00C2656D" w:rsidRDefault="00C2656D" w:rsidP="006560DD"/>
    <w:p w:rsidR="00C2656D" w:rsidRDefault="00C2656D" w:rsidP="006560DD"/>
    <w:p w:rsidR="00C2656D" w:rsidRDefault="00C2656D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71E59" w:rsidP="00971E59">
            <w:r>
              <w:t>Diagnóstico de trámites, servicios y regulaciones complejos para los ciudadanos y empresas.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C2656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CC" w:rsidRDefault="009D74CC" w:rsidP="00985B24">
      <w:pPr>
        <w:spacing w:after="0" w:line="240" w:lineRule="auto"/>
      </w:pPr>
      <w:r>
        <w:separator/>
      </w:r>
    </w:p>
  </w:endnote>
  <w:endnote w:type="continuationSeparator" w:id="0">
    <w:p w:rsidR="009D74CC" w:rsidRDefault="009D74C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01183" w:rsidRPr="00801183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01183" w:rsidRPr="00801183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CC" w:rsidRDefault="009D74CC" w:rsidP="00985B24">
      <w:pPr>
        <w:spacing w:after="0" w:line="240" w:lineRule="auto"/>
      </w:pPr>
      <w:r>
        <w:separator/>
      </w:r>
    </w:p>
  </w:footnote>
  <w:footnote w:type="continuationSeparator" w:id="0">
    <w:p w:rsidR="009D74CC" w:rsidRDefault="009D74C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BF"/>
    <w:multiLevelType w:val="hybridMultilevel"/>
    <w:tmpl w:val="095A0E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03F"/>
    <w:multiLevelType w:val="hybridMultilevel"/>
    <w:tmpl w:val="095A0E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A6B83"/>
    <w:rsid w:val="002F08F4"/>
    <w:rsid w:val="002F5975"/>
    <w:rsid w:val="00476A3C"/>
    <w:rsid w:val="004B1033"/>
    <w:rsid w:val="005014C2"/>
    <w:rsid w:val="0057477E"/>
    <w:rsid w:val="00580659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01183"/>
    <w:rsid w:val="0084062C"/>
    <w:rsid w:val="008824CC"/>
    <w:rsid w:val="0089051B"/>
    <w:rsid w:val="008A1303"/>
    <w:rsid w:val="008A3650"/>
    <w:rsid w:val="00922BB5"/>
    <w:rsid w:val="00946B9B"/>
    <w:rsid w:val="00971E59"/>
    <w:rsid w:val="00985B24"/>
    <w:rsid w:val="00994B02"/>
    <w:rsid w:val="009A2296"/>
    <w:rsid w:val="009B23B5"/>
    <w:rsid w:val="009D74CC"/>
    <w:rsid w:val="00A006C4"/>
    <w:rsid w:val="00A248DA"/>
    <w:rsid w:val="00A5478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D20D7"/>
    <w:rsid w:val="00C2656D"/>
    <w:rsid w:val="00C3660A"/>
    <w:rsid w:val="00CB30CB"/>
    <w:rsid w:val="00D37300"/>
    <w:rsid w:val="00D758E5"/>
    <w:rsid w:val="00D86FEF"/>
    <w:rsid w:val="00D8768D"/>
    <w:rsid w:val="00DD6C80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8B0D-EEF6-4E80-AA5F-D5732D9B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SAV5</cp:lastModifiedBy>
  <cp:revision>4</cp:revision>
  <dcterms:created xsi:type="dcterms:W3CDTF">2019-11-12T04:59:00Z</dcterms:created>
  <dcterms:modified xsi:type="dcterms:W3CDTF">2019-11-12T18:11:00Z</dcterms:modified>
</cp:coreProperties>
</file>