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53B33" w:rsidTr="00A248DA">
        <w:tc>
          <w:tcPr>
            <w:tcW w:w="1441" w:type="dxa"/>
            <w:shd w:val="clear" w:color="auto" w:fill="D9D9D9" w:themeFill="background1" w:themeFillShade="D9"/>
          </w:tcPr>
          <w:p w:rsidR="00953B33" w:rsidRPr="005C396B" w:rsidRDefault="00953B33" w:rsidP="00953B3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53B33" w:rsidRPr="005C396B" w:rsidRDefault="00953B33" w:rsidP="00953B33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53B33" w:rsidRDefault="00953B33" w:rsidP="00953B33">
            <w:r>
              <w:t>Subdirección Técnica y de Planeación Estratégica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53B33" w:rsidRDefault="00953B33" w:rsidP="00953B33">
            <w:pPr>
              <w:jc w:val="right"/>
              <w:rPr>
                <w:b/>
                <w:sz w:val="24"/>
              </w:rPr>
            </w:pPr>
          </w:p>
          <w:p w:rsidR="00953B33" w:rsidRPr="00970FDC" w:rsidRDefault="00953B33" w:rsidP="00953B3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53B33" w:rsidTr="00A248DA">
        <w:tc>
          <w:tcPr>
            <w:tcW w:w="1441" w:type="dxa"/>
            <w:shd w:val="clear" w:color="auto" w:fill="D9D9D9" w:themeFill="background1" w:themeFillShade="D9"/>
          </w:tcPr>
          <w:p w:rsidR="00953B33" w:rsidRPr="005C396B" w:rsidRDefault="00953B33" w:rsidP="00953B3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53B33" w:rsidRDefault="00953B33" w:rsidP="00953B33">
            <w:r w:rsidRPr="003F2134">
              <w:t>Reingeniería de procesos de las áreas de información y sistematización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53B33" w:rsidRDefault="00953B33" w:rsidP="00953B33"/>
        </w:tc>
      </w:tr>
      <w:tr w:rsidR="00953B33" w:rsidTr="00A248DA">
        <w:tc>
          <w:tcPr>
            <w:tcW w:w="1441" w:type="dxa"/>
            <w:shd w:val="clear" w:color="auto" w:fill="FBD4B4" w:themeFill="accent6" w:themeFillTint="66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2FAD4" wp14:editId="79DD6A0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3CFADD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39BF00" wp14:editId="486133D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B33" w:rsidRPr="00953B33" w:rsidRDefault="00953B33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BF0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953B33" w:rsidRPr="00953B33" w:rsidRDefault="00953B33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EE54C" wp14:editId="5A7F69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B33" w:rsidRDefault="00953B3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E54C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953B33" w:rsidRDefault="00953B3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53B33" w:rsidRPr="005C396B" w:rsidRDefault="00953B33" w:rsidP="00953B3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53B3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953B33" w:rsidRPr="001777B2" w:rsidRDefault="00953B33" w:rsidP="00953B3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53B33" w:rsidRDefault="00953B33" w:rsidP="00953B3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0ACB77" wp14:editId="6A2C86F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B33" w:rsidRDefault="00310506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ACB77"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953B33" w:rsidRDefault="00310506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953B33" w:rsidRDefault="00953B33" w:rsidP="00953B3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53B33" w:rsidRDefault="00953B33" w:rsidP="00953B3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1CF46" wp14:editId="7CB996B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B33" w:rsidRPr="00953B33" w:rsidRDefault="00953B33" w:rsidP="00953B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1CF46" id="Rectángulo 6" o:spid="_x0000_s1029" style="position:absolute;left:0;text-align:left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953B33" w:rsidRPr="00953B33" w:rsidRDefault="00953B33" w:rsidP="00953B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953B33" w:rsidRDefault="00310506" w:rsidP="00953B33">
            <w:r>
              <w:t>$100,000.00</w:t>
            </w:r>
          </w:p>
        </w:tc>
        <w:tc>
          <w:tcPr>
            <w:tcW w:w="2108" w:type="dxa"/>
          </w:tcPr>
          <w:p w:rsidR="00953B33" w:rsidRDefault="00953B33" w:rsidP="00953B33">
            <w:pPr>
              <w:jc w:val="center"/>
            </w:pPr>
            <w:r>
              <w:t>18</w:t>
            </w:r>
          </w:p>
        </w:tc>
      </w:tr>
      <w:tr w:rsidR="00953B3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53B33" w:rsidRPr="001777B2" w:rsidRDefault="00953B33" w:rsidP="00953B33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B3560" w:rsidRDefault="003B3560" w:rsidP="003B3560">
            <w:pPr>
              <w:rPr>
                <w:b/>
              </w:rPr>
            </w:pPr>
          </w:p>
          <w:p w:rsidR="00953B33" w:rsidRPr="003B3560" w:rsidRDefault="003B3560" w:rsidP="003B3560">
            <w:pPr>
              <w:rPr>
                <w:b/>
              </w:rPr>
            </w:pPr>
            <w:r w:rsidRPr="003B3560">
              <w:rPr>
                <w:b/>
              </w:rPr>
              <w:t>Validado</w:t>
            </w:r>
          </w:p>
          <w:p w:rsidR="00953B33" w:rsidRDefault="00953B33" w:rsidP="00953B33">
            <w:pPr>
              <w:jc w:val="center"/>
            </w:pPr>
          </w:p>
        </w:tc>
      </w:tr>
      <w:tr w:rsidR="00953B33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B33" w:rsidRPr="00C76E9F" w:rsidRDefault="00953B33" w:rsidP="00953B3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53B33" w:rsidRDefault="00953B33" w:rsidP="00953B33">
            <w:r>
              <w:rPr>
                <w:rFonts w:ascii="Calibri" w:hAnsi="Calibri" w:cs="Calibri"/>
                <w:color w:val="000000"/>
              </w:rPr>
              <w:t>Replantear los procesos informativos e informáticos de tratamiento de los datos, con el objetivo de optimizar el ciclo de la información y mejorar la eficiencia en la calidad de los productos emitidos por las áreas correspondientes, para con ello favorecer la toma eficaz de decisiones con respecto a la seguridad pública, participación interinstitucional y comunitaria.</w:t>
            </w:r>
          </w:p>
          <w:p w:rsidR="00953B33" w:rsidRDefault="00953B33" w:rsidP="00953B33"/>
        </w:tc>
      </w:tr>
      <w:tr w:rsidR="00953B3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B33" w:rsidRPr="00C76E9F" w:rsidRDefault="00953B33" w:rsidP="00953B3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B33" w:rsidRPr="00C118FF" w:rsidRDefault="00953B33" w:rsidP="00953B33">
            <w:pPr>
              <w:rPr>
                <w:rFonts w:cstheme="minorHAnsi"/>
                <w:sz w:val="20"/>
                <w:szCs w:val="20"/>
              </w:rPr>
            </w:pPr>
            <w:r w:rsidRPr="00C118FF">
              <w:rPr>
                <w:rFonts w:cstheme="minorHAnsi"/>
                <w:b/>
                <w:bCs/>
                <w:sz w:val="20"/>
                <w:szCs w:val="20"/>
              </w:rPr>
              <w:t>5.6. Profesionalizar el servicio de seguridad pública.</w:t>
            </w:r>
          </w:p>
          <w:p w:rsidR="00953B33" w:rsidRDefault="00953B33" w:rsidP="00953B33"/>
        </w:tc>
      </w:tr>
      <w:tr w:rsidR="00953B3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B33" w:rsidRPr="00C76E9F" w:rsidRDefault="00953B33" w:rsidP="00953B3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B33" w:rsidRPr="00C118FF" w:rsidRDefault="00953B33" w:rsidP="00953B33">
            <w:pPr>
              <w:rPr>
                <w:rFonts w:cstheme="minorHAnsi"/>
                <w:sz w:val="20"/>
                <w:szCs w:val="20"/>
              </w:rPr>
            </w:pPr>
            <w:r w:rsidRPr="00C118FF">
              <w:rPr>
                <w:rFonts w:cstheme="minorHAnsi"/>
                <w:sz w:val="20"/>
                <w:szCs w:val="20"/>
              </w:rPr>
              <w:t>5.6.7.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18FF">
              <w:rPr>
                <w:rFonts w:cstheme="minorHAnsi"/>
                <w:sz w:val="20"/>
                <w:szCs w:val="20"/>
              </w:rPr>
              <w:t>Gestión y desarrollo de infraestructura para la prestación eficiente del servicio de seguridad pública municipal.</w:t>
            </w:r>
          </w:p>
          <w:p w:rsidR="00953B33" w:rsidRPr="00C118FF" w:rsidRDefault="00953B33" w:rsidP="00953B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46BA2" w:rsidRDefault="009137F1" w:rsidP="00C75E81">
            <w:r>
              <w:t xml:space="preserve">El equipo de </w:t>
            </w:r>
            <w:r w:rsidR="001E0782">
              <w:t>cómputo</w:t>
            </w:r>
            <w:r>
              <w:t xml:space="preserve"> como </w:t>
            </w:r>
            <w:r w:rsidR="001E0782">
              <w:t>herramienta</w:t>
            </w:r>
            <w:r>
              <w:t xml:space="preserve"> básica en los procesos de la información cuenta con una </w:t>
            </w:r>
            <w:r w:rsidR="001E0782">
              <w:t>obsolescencia</w:t>
            </w:r>
            <w:r>
              <w:t xml:space="preserve"> acelerada derivado al uso durante las 24 horas lo que deriva en un desempeño insuficiente de las funciones del área, aunado a que no se cuenta con quipo de capacidades suficientes para trabajar con sistemas SIG de </w:t>
            </w:r>
            <w:r w:rsidR="001E0782">
              <w:t>georreferenciación</w:t>
            </w:r>
            <w:r>
              <w:t xml:space="preserve"> y aplicativos de alto </w:t>
            </w:r>
            <w:r w:rsidR="001E0782">
              <w:t>rendimiento</w:t>
            </w:r>
            <w:r>
              <w:t>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46BA2" w:rsidRDefault="001E0782" w:rsidP="00C75E81">
            <w:r>
              <w:t>Modernización</w:t>
            </w:r>
            <w:r w:rsidR="009137F1">
              <w:t xml:space="preserve"> del equipo de </w:t>
            </w:r>
            <w:r>
              <w:t>cómputo</w:t>
            </w:r>
            <w:r w:rsidR="009137F1">
              <w:t xml:space="preserve"> con las capacidades suficientes y </w:t>
            </w:r>
            <w:r>
              <w:t>mobiliario</w:t>
            </w:r>
            <w:r w:rsidR="009137F1">
              <w:t xml:space="preserve"> conforme a las necesidades del área.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9394D" w:rsidP="00A46BA2">
            <w:r w:rsidRPr="00A46BA2">
              <w:t>Elaboración, aprobación y autorización del Proyecto Ejecutivo. Gestiones de adquisición. Cotización y jus</w:t>
            </w:r>
            <w:r>
              <w:t>tificación. Compra del software,</w:t>
            </w:r>
            <w:r w:rsidRPr="00A46BA2">
              <w:t xml:space="preserve"> </w:t>
            </w:r>
            <w:r>
              <w:t>equipo (</w:t>
            </w:r>
            <w:r w:rsidR="001E0782">
              <w:t>Cañón</w:t>
            </w:r>
            <w:r>
              <w:t xml:space="preserve"> proyector, impresora multifuncional, </w:t>
            </w:r>
            <w:r w:rsidR="001E0782">
              <w:t>Pantalla, mobiliario</w:t>
            </w:r>
            <w:r>
              <w:t xml:space="preserve"> y </w:t>
            </w:r>
            <w:r w:rsidRPr="00A46BA2">
              <w:t>computadora</w:t>
            </w:r>
            <w:r>
              <w:t>s)</w:t>
            </w:r>
            <w:r w:rsidRPr="00A46BA2">
              <w:t>. Presentación de Informe Trimestral</w:t>
            </w:r>
            <w:r>
              <w:t>.</w:t>
            </w:r>
          </w:p>
          <w:p w:rsidR="00B00E03" w:rsidRDefault="00B00E03" w:rsidP="00A46BA2">
            <w:r>
              <w:t>Modernizacion de los productos de inteligencia.</w:t>
            </w:r>
          </w:p>
          <w:p w:rsidR="00B00E03" w:rsidRDefault="00B00E03" w:rsidP="00A46BA2">
            <w:r>
              <w:t>Creacion de bases de datos mas complejas.</w:t>
            </w:r>
          </w:p>
          <w:p w:rsidR="00B00E03" w:rsidRDefault="00B00E03" w:rsidP="00A46BA2">
            <w:r>
              <w:t>Modernizacion de productos de inteligencia.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9394D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4D" w:rsidRPr="00352D9B" w:rsidRDefault="0059394D" w:rsidP="0059394D">
            <w:pPr>
              <w:jc w:val="center"/>
              <w:rPr>
                <w:rFonts w:ascii="Calibri" w:eastAsia="Times New Roman" w:hAnsi="Calibri" w:cs="Calibri"/>
              </w:rPr>
            </w:pPr>
            <w:r w:rsidRPr="00260E34">
              <w:rPr>
                <w:rFonts w:ascii="Calibri" w:eastAsia="Times New Roman" w:hAnsi="Calibri" w:cs="Calibri"/>
              </w:rPr>
              <w:t xml:space="preserve">Porcentaje de </w:t>
            </w:r>
            <w:r>
              <w:rPr>
                <w:rFonts w:ascii="Calibri" w:eastAsia="Times New Roman" w:hAnsi="Calibri" w:cs="Calibri"/>
              </w:rPr>
              <w:t>equipo adquirido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4D" w:rsidRDefault="001E0782" w:rsidP="005939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Reingeniería</w:t>
            </w:r>
            <w:r w:rsidR="0059394D">
              <w:rPr>
                <w:rFonts w:ascii="Calibri" w:hAnsi="Calibri" w:cs="Calibri"/>
                <w:color w:val="000000"/>
              </w:rPr>
              <w:t xml:space="preserve"> y modernización de procesos, modernización del </w:t>
            </w:r>
            <w:r>
              <w:rPr>
                <w:rFonts w:ascii="Calibri" w:hAnsi="Calibri" w:cs="Calibri"/>
                <w:color w:val="000000"/>
              </w:rPr>
              <w:t>área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4D" w:rsidRDefault="001E0782" w:rsidP="005939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Renovación</w:t>
            </w:r>
            <w:r w:rsidR="0059394D">
              <w:rPr>
                <w:rFonts w:ascii="Calibri" w:hAnsi="Calibri" w:cs="Calibri"/>
                <w:color w:val="000000"/>
              </w:rPr>
              <w:t xml:space="preserve"> del equipo adquirido, procesos y productos de inteligencia de alta calidad y eficacia.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A46BA2" w:rsidRDefault="00A46BA2" w:rsidP="006560DD"/>
    <w:p w:rsidR="008247DA" w:rsidRDefault="008247DA" w:rsidP="006560DD"/>
    <w:p w:rsidR="00A46BA2" w:rsidRDefault="00A46BA2" w:rsidP="006560DD"/>
    <w:p w:rsidR="00A46BA2" w:rsidRDefault="00A46BA2" w:rsidP="006560DD"/>
    <w:p w:rsidR="00A46BA2" w:rsidRDefault="00A46BA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0B77DF">
            <w:pPr>
              <w:jc w:val="both"/>
            </w:pPr>
            <w:r w:rsidRPr="00352D9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0B77DF">
            <w:pPr>
              <w:jc w:val="both"/>
            </w:pPr>
            <w:r w:rsidRPr="00352D9B">
              <w:t>Gestiones de adquisición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0B77DF">
            <w:pPr>
              <w:jc w:val="both"/>
            </w:pPr>
            <w:r w:rsidRPr="00352D9B">
              <w:t>Cotización y justificación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59394D">
            <w:pPr>
              <w:jc w:val="both"/>
            </w:pPr>
            <w:r w:rsidRPr="00352D9B">
              <w:t xml:space="preserve">Compra del software y </w:t>
            </w:r>
            <w:r>
              <w:t>equipo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</w:tr>
      <w:tr w:rsidR="00B00E03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B00E03" w:rsidRPr="0044466D" w:rsidRDefault="00B00E03" w:rsidP="00B00E03">
            <w:r w:rsidRPr="0044466D">
              <w:t>Adecuación de espacio y mobiliario y equipo de oficina.</w:t>
            </w:r>
          </w:p>
        </w:tc>
        <w:tc>
          <w:tcPr>
            <w:tcW w:w="259" w:type="pct"/>
            <w:shd w:val="clear" w:color="auto" w:fill="auto"/>
          </w:tcPr>
          <w:p w:rsidR="00B00E03" w:rsidRPr="0044466D" w:rsidRDefault="00B00E03" w:rsidP="00B00E03"/>
        </w:tc>
        <w:tc>
          <w:tcPr>
            <w:tcW w:w="248" w:type="pct"/>
            <w:shd w:val="clear" w:color="auto" w:fill="auto"/>
          </w:tcPr>
          <w:p w:rsidR="00B00E03" w:rsidRPr="0044466D" w:rsidRDefault="00B00E03" w:rsidP="00B00E03">
            <w:r w:rsidRPr="0044466D">
              <w:t>x</w:t>
            </w:r>
          </w:p>
        </w:tc>
        <w:tc>
          <w:tcPr>
            <w:tcW w:w="266" w:type="pct"/>
            <w:shd w:val="clear" w:color="auto" w:fill="auto"/>
          </w:tcPr>
          <w:p w:rsidR="00B00E03" w:rsidRPr="0044466D" w:rsidRDefault="00B00E03" w:rsidP="00B00E03">
            <w:r w:rsidRPr="0044466D">
              <w:t>x</w:t>
            </w:r>
          </w:p>
        </w:tc>
        <w:tc>
          <w:tcPr>
            <w:tcW w:w="275" w:type="pct"/>
            <w:shd w:val="clear" w:color="auto" w:fill="auto"/>
          </w:tcPr>
          <w:p w:rsidR="00B00E03" w:rsidRPr="0044466D" w:rsidRDefault="00B00E03" w:rsidP="00B00E03">
            <w:r w:rsidRPr="0044466D">
              <w:t>X</w:t>
            </w:r>
          </w:p>
        </w:tc>
        <w:tc>
          <w:tcPr>
            <w:tcW w:w="275" w:type="pct"/>
            <w:shd w:val="clear" w:color="auto" w:fill="auto"/>
          </w:tcPr>
          <w:p w:rsidR="00B00E03" w:rsidRPr="0044466D" w:rsidRDefault="00B00E03" w:rsidP="00B00E03"/>
        </w:tc>
        <w:tc>
          <w:tcPr>
            <w:tcW w:w="275" w:type="pct"/>
            <w:shd w:val="clear" w:color="auto" w:fill="auto"/>
          </w:tcPr>
          <w:p w:rsidR="00B00E03" w:rsidRPr="0044466D" w:rsidRDefault="00B00E03" w:rsidP="00B00E03"/>
        </w:tc>
        <w:tc>
          <w:tcPr>
            <w:tcW w:w="275" w:type="pct"/>
            <w:shd w:val="clear" w:color="auto" w:fill="auto"/>
          </w:tcPr>
          <w:p w:rsidR="00B00E03" w:rsidRPr="0044466D" w:rsidRDefault="00B00E03" w:rsidP="00B00E03"/>
        </w:tc>
        <w:tc>
          <w:tcPr>
            <w:tcW w:w="274" w:type="pct"/>
            <w:shd w:val="clear" w:color="auto" w:fill="auto"/>
          </w:tcPr>
          <w:p w:rsidR="00B00E03" w:rsidRPr="0044466D" w:rsidRDefault="00B00E03" w:rsidP="00B00E03"/>
        </w:tc>
        <w:tc>
          <w:tcPr>
            <w:tcW w:w="279" w:type="pct"/>
            <w:shd w:val="clear" w:color="auto" w:fill="auto"/>
          </w:tcPr>
          <w:p w:rsidR="00B00E03" w:rsidRPr="0044466D" w:rsidRDefault="00B00E03" w:rsidP="00B00E03"/>
        </w:tc>
        <w:tc>
          <w:tcPr>
            <w:tcW w:w="266" w:type="pct"/>
            <w:shd w:val="clear" w:color="auto" w:fill="auto"/>
          </w:tcPr>
          <w:p w:rsidR="00B00E03" w:rsidRPr="0044466D" w:rsidRDefault="00B00E03" w:rsidP="00B00E03"/>
        </w:tc>
        <w:tc>
          <w:tcPr>
            <w:tcW w:w="248" w:type="pct"/>
            <w:shd w:val="clear" w:color="auto" w:fill="auto"/>
          </w:tcPr>
          <w:p w:rsidR="00B00E03" w:rsidRPr="0044466D" w:rsidRDefault="00B00E03" w:rsidP="00B00E03"/>
        </w:tc>
        <w:tc>
          <w:tcPr>
            <w:tcW w:w="252" w:type="pct"/>
            <w:shd w:val="clear" w:color="auto" w:fill="auto"/>
          </w:tcPr>
          <w:p w:rsidR="00B00E03" w:rsidRDefault="00B00E03" w:rsidP="00B00E03"/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0B77DF">
            <w:pPr>
              <w:jc w:val="both"/>
              <w:rPr>
                <w:rFonts w:cstheme="minorHAnsi"/>
                <w:shd w:val="clear" w:color="auto" w:fill="FFFFFF"/>
              </w:rPr>
            </w:pPr>
            <w:r w:rsidRPr="00352D9B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</w:tr>
      <w:tr w:rsidR="0059394D" w:rsidRPr="00352D9B" w:rsidTr="000B77DF">
        <w:trPr>
          <w:trHeight w:val="57"/>
        </w:trPr>
        <w:tc>
          <w:tcPr>
            <w:tcW w:w="1808" w:type="pct"/>
            <w:shd w:val="clear" w:color="auto" w:fill="auto"/>
          </w:tcPr>
          <w:p w:rsidR="0059394D" w:rsidRPr="00352D9B" w:rsidRDefault="0059394D" w:rsidP="000B77DF">
            <w:pPr>
              <w:jc w:val="both"/>
            </w:pPr>
            <w:r w:rsidRPr="00352D9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94D" w:rsidRPr="00352D9B" w:rsidRDefault="0059394D" w:rsidP="000B77DF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57" w:rsidRDefault="00B91E57" w:rsidP="00985B24">
      <w:pPr>
        <w:spacing w:after="0" w:line="240" w:lineRule="auto"/>
      </w:pPr>
      <w:r>
        <w:separator/>
      </w:r>
    </w:p>
  </w:endnote>
  <w:endnote w:type="continuationSeparator" w:id="0">
    <w:p w:rsidR="00B91E57" w:rsidRDefault="00B91E5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A0201" w:rsidRPr="00AA0201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0201" w:rsidRPr="00AA0201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57" w:rsidRDefault="00B91E57" w:rsidP="00985B24">
      <w:pPr>
        <w:spacing w:after="0" w:line="240" w:lineRule="auto"/>
      </w:pPr>
      <w:r>
        <w:separator/>
      </w:r>
    </w:p>
  </w:footnote>
  <w:footnote w:type="continuationSeparator" w:id="0">
    <w:p w:rsidR="00B91E57" w:rsidRDefault="00B91E5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66CD1"/>
    <w:rsid w:val="00181468"/>
    <w:rsid w:val="001A597F"/>
    <w:rsid w:val="001E0782"/>
    <w:rsid w:val="00233105"/>
    <w:rsid w:val="0024680E"/>
    <w:rsid w:val="002F08F4"/>
    <w:rsid w:val="002F5975"/>
    <w:rsid w:val="00310506"/>
    <w:rsid w:val="003B3560"/>
    <w:rsid w:val="00476A3C"/>
    <w:rsid w:val="004B1033"/>
    <w:rsid w:val="005014C2"/>
    <w:rsid w:val="0057477E"/>
    <w:rsid w:val="0059394D"/>
    <w:rsid w:val="005C50F9"/>
    <w:rsid w:val="005F6BB1"/>
    <w:rsid w:val="00613CE2"/>
    <w:rsid w:val="006560DD"/>
    <w:rsid w:val="0068072A"/>
    <w:rsid w:val="007206CD"/>
    <w:rsid w:val="0076351F"/>
    <w:rsid w:val="007D08A5"/>
    <w:rsid w:val="008247DA"/>
    <w:rsid w:val="008824CC"/>
    <w:rsid w:val="0089051B"/>
    <w:rsid w:val="008A3650"/>
    <w:rsid w:val="009137F1"/>
    <w:rsid w:val="00946B9B"/>
    <w:rsid w:val="00953B33"/>
    <w:rsid w:val="00985B24"/>
    <w:rsid w:val="009A2296"/>
    <w:rsid w:val="009B23B5"/>
    <w:rsid w:val="00A248DA"/>
    <w:rsid w:val="00A46BA2"/>
    <w:rsid w:val="00A624F2"/>
    <w:rsid w:val="00A65BAF"/>
    <w:rsid w:val="00A67619"/>
    <w:rsid w:val="00A80D75"/>
    <w:rsid w:val="00A84A83"/>
    <w:rsid w:val="00AA0201"/>
    <w:rsid w:val="00AA22B4"/>
    <w:rsid w:val="00AD6073"/>
    <w:rsid w:val="00B00E03"/>
    <w:rsid w:val="00B15ABE"/>
    <w:rsid w:val="00B3346E"/>
    <w:rsid w:val="00B64EE1"/>
    <w:rsid w:val="00B91E57"/>
    <w:rsid w:val="00BD0CE5"/>
    <w:rsid w:val="00C3660A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EAF6-8BF9-4C99-B65E-B6BECA36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2019-10-29T19:57:00Z</dcterms:created>
  <dcterms:modified xsi:type="dcterms:W3CDTF">2019-10-29T19:57:00Z</dcterms:modified>
</cp:coreProperties>
</file>