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4B27CF" w:rsidP="007E72C1">
            <w:r>
              <w:t xml:space="preserve">Dirección de Cultura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4B27CF" w:rsidP="007E72C1">
            <w:r w:rsidRPr="004B27CF">
              <w:t>Programa especial para fomentar el acceso a espacios y la participación en actividades culturales para las Niñas, Niños y Adolescentes, a través de la agenda de las Casas de la Cultura y las Academias Municipales.</w:t>
            </w:r>
            <w:bookmarkStart w:id="0" w:name="_GoBack"/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4B27CF" w:rsidP="007E72C1">
            <w:pPr>
              <w:rPr>
                <w:b/>
              </w:rPr>
            </w:pPr>
            <w:r>
              <w:rPr>
                <w:b/>
              </w:rPr>
              <w:t xml:space="preserve">Pendiente de elaborar por el área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B27CF" w:rsidRPr="004B27C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B27CF" w:rsidRPr="004B27C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4B27CF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A404-5EAF-4353-AFE9-470401B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2019-12-20T17:24:00Z</dcterms:created>
  <dcterms:modified xsi:type="dcterms:W3CDTF">2019-12-20T17:24:00Z</dcterms:modified>
</cp:coreProperties>
</file>