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CB7C86" w:rsidRPr="00985B24">
        <w:rPr>
          <w:b/>
          <w:sz w:val="40"/>
        </w:rPr>
        <w:t>: DATOS</w:t>
      </w:r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C372D" w:rsidTr="005B4308">
        <w:tc>
          <w:tcPr>
            <w:tcW w:w="1441" w:type="dxa"/>
            <w:shd w:val="clear" w:color="auto" w:fill="D9D9D9" w:themeFill="background1" w:themeFillShade="D9"/>
          </w:tcPr>
          <w:p w:rsidR="00CC372D" w:rsidRPr="005C396B" w:rsidRDefault="00CC372D" w:rsidP="00CC372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C372D" w:rsidRPr="005C396B" w:rsidRDefault="00CC372D" w:rsidP="00CC3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  <w:vAlign w:val="center"/>
          </w:tcPr>
          <w:p w:rsidR="00CC372D" w:rsidRDefault="0074755C" w:rsidP="00CC372D">
            <w:r>
              <w:t xml:space="preserve">Unidad de </w:t>
            </w:r>
            <w:r w:rsidR="00CC372D">
              <w:t>Gestión de apoyos Federales, Estatales y del Se</w:t>
            </w:r>
            <w:r>
              <w:t>ctor Privado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C372D" w:rsidRDefault="00CC372D" w:rsidP="00CC372D">
            <w:pPr>
              <w:jc w:val="right"/>
              <w:rPr>
                <w:b/>
                <w:sz w:val="24"/>
              </w:rPr>
            </w:pPr>
          </w:p>
          <w:p w:rsidR="00CC372D" w:rsidRPr="00970FDC" w:rsidRDefault="00CC372D" w:rsidP="00CC372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C372D" w:rsidTr="00A248DA">
        <w:tc>
          <w:tcPr>
            <w:tcW w:w="1441" w:type="dxa"/>
            <w:shd w:val="clear" w:color="auto" w:fill="D9D9D9" w:themeFill="background1" w:themeFillShade="D9"/>
          </w:tcPr>
          <w:p w:rsidR="00CC372D" w:rsidRPr="005C396B" w:rsidRDefault="00CC372D" w:rsidP="00CC372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C372D" w:rsidRDefault="002308A8" w:rsidP="00FC64D0">
            <w:r>
              <w:t>Gestión de apoyos Federales, Estatales y del Sector Privado para las Diferentes Direcciones de las Coordinación</w:t>
            </w:r>
            <w:r w:rsidR="0074755C">
              <w:t xml:space="preserve"> de Desarrollo Económico y Combate a la Desigualdad</w:t>
            </w:r>
            <w:r w:rsidR="00F7585E">
              <w:t xml:space="preserve"> y proyectos municipales.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C372D" w:rsidRDefault="00CC372D" w:rsidP="00CC372D"/>
        </w:tc>
      </w:tr>
      <w:tr w:rsidR="00CC372D" w:rsidTr="00A248DA">
        <w:tc>
          <w:tcPr>
            <w:tcW w:w="1441" w:type="dxa"/>
            <w:shd w:val="clear" w:color="auto" w:fill="FBD4B4" w:themeFill="accent6" w:themeFillTint="66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387EE0" wp14:editId="5D68296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AFC3E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09EA1B" wp14:editId="1766C76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72D" w:rsidRPr="00CC372D" w:rsidRDefault="002308A8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EA1B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CC372D" w:rsidRPr="00CC372D" w:rsidRDefault="002308A8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FD9496" wp14:editId="073A2CE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72D" w:rsidRPr="00FC64D0" w:rsidRDefault="00CC372D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D9496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C372D" w:rsidRPr="00FC64D0" w:rsidRDefault="00CC372D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C372D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CC372D" w:rsidRPr="001777B2" w:rsidRDefault="00CC372D" w:rsidP="00CC372D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C372D" w:rsidRDefault="00CC372D" w:rsidP="00CC372D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513FC6" wp14:editId="3C08385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72D" w:rsidRPr="00CC372D" w:rsidRDefault="00CC372D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13FC6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CC372D" w:rsidRPr="00CC372D" w:rsidRDefault="00CC372D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C372D" w:rsidRDefault="00CC372D" w:rsidP="00CC372D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C372D" w:rsidRDefault="00CC372D" w:rsidP="00CC372D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6732C9" wp14:editId="6C140B2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72D" w:rsidRPr="00CC372D" w:rsidRDefault="00CC372D" w:rsidP="00CC372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732C9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CC372D" w:rsidRPr="00CC372D" w:rsidRDefault="00CC372D" w:rsidP="00CC372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C372D" w:rsidRPr="00A00C01" w:rsidRDefault="00CC372D" w:rsidP="00CC372D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CC372D" w:rsidRDefault="00CC372D" w:rsidP="00CC372D">
            <w:pPr>
              <w:jc w:val="center"/>
            </w:pPr>
            <w:r>
              <w:t>12 meses</w:t>
            </w:r>
          </w:p>
        </w:tc>
      </w:tr>
      <w:tr w:rsidR="00CC372D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C372D" w:rsidRPr="001777B2" w:rsidRDefault="00CC372D" w:rsidP="00CC372D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C372D" w:rsidRDefault="00CC372D" w:rsidP="00CC372D">
            <w:pPr>
              <w:jc w:val="center"/>
            </w:pPr>
          </w:p>
          <w:p w:rsidR="00CC372D" w:rsidRPr="00CC372D" w:rsidRDefault="00CC372D" w:rsidP="00CC372D">
            <w:pPr>
              <w:rPr>
                <w:b/>
              </w:rPr>
            </w:pPr>
            <w:r w:rsidRPr="00CC372D">
              <w:rPr>
                <w:b/>
              </w:rPr>
              <w:t>Validado</w:t>
            </w:r>
          </w:p>
        </w:tc>
      </w:tr>
      <w:tr w:rsidR="002308A8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308A8" w:rsidRPr="00C76E9F" w:rsidRDefault="002308A8" w:rsidP="002308A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308A8" w:rsidRDefault="002308A8" w:rsidP="002308A8">
            <w:pPr>
              <w:pStyle w:val="Prrafodelista"/>
              <w:numPr>
                <w:ilvl w:val="0"/>
                <w:numId w:val="3"/>
              </w:numPr>
            </w:pPr>
            <w:r>
              <w:t xml:space="preserve">Identificar todas aquellos Programas, Convocatorias y/o Apoyos, en los que pueda participar las Diferentes Direcciones de las Coordinación. </w:t>
            </w:r>
          </w:p>
          <w:p w:rsidR="002308A8" w:rsidRDefault="00CB7C86" w:rsidP="002308A8">
            <w:pPr>
              <w:pStyle w:val="Prrafodelista"/>
              <w:numPr>
                <w:ilvl w:val="0"/>
                <w:numId w:val="3"/>
              </w:numPr>
            </w:pPr>
            <w:r>
              <w:t>Obtener los</w:t>
            </w:r>
            <w:r w:rsidR="002308A8">
              <w:t xml:space="preserve"> Recursos y/o Apoyos para el desarrollo de proyectos en las diversas direcciones de la coordinación.</w:t>
            </w:r>
          </w:p>
          <w:p w:rsidR="002308A8" w:rsidRDefault="002308A8" w:rsidP="002308A8">
            <w:pPr>
              <w:pStyle w:val="Prrafodelista"/>
              <w:numPr>
                <w:ilvl w:val="0"/>
                <w:numId w:val="3"/>
              </w:numPr>
            </w:pPr>
            <w:r>
              <w:t>Elaborar Proyectos en conjunto con las diversas Direcciones de la Coordinación para hacerlo susceptibles de Financiamiento o apoyos.</w:t>
            </w:r>
          </w:p>
          <w:p w:rsidR="002308A8" w:rsidRDefault="002308A8" w:rsidP="002308A8">
            <w:pPr>
              <w:pStyle w:val="Prrafodelista"/>
              <w:numPr>
                <w:ilvl w:val="0"/>
                <w:numId w:val="3"/>
              </w:numPr>
            </w:pPr>
            <w:r>
              <w:t xml:space="preserve">Gestionar las cuestiones administrativas de los apoyos generados, en la diversas Direcciones de la Coordinación. </w:t>
            </w:r>
          </w:p>
        </w:tc>
      </w:tr>
      <w:tr w:rsidR="002308A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308A8" w:rsidRPr="00C76E9F" w:rsidRDefault="002308A8" w:rsidP="002308A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308A8" w:rsidRPr="001A03AE" w:rsidRDefault="001A03AE" w:rsidP="001A03AE">
            <w:pPr>
              <w:spacing w:after="5" w:line="269" w:lineRule="auto"/>
              <w:ind w:right="74"/>
              <w:jc w:val="both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3.1 </w:t>
            </w:r>
            <w:r w:rsidR="002308A8" w:rsidRPr="000F6B97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Mejorar los espacios y esquemas de capacitación en los que interviene el gobierno municipal. </w:t>
            </w:r>
          </w:p>
        </w:tc>
      </w:tr>
      <w:tr w:rsidR="002308A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308A8" w:rsidRPr="00C76E9F" w:rsidRDefault="002308A8" w:rsidP="002308A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308A8" w:rsidRDefault="002308A8" w:rsidP="002308A8">
            <w:pPr>
              <w:pStyle w:val="Default"/>
              <w:rPr>
                <w:b/>
                <w:bCs/>
                <w:sz w:val="13"/>
                <w:szCs w:val="13"/>
              </w:rPr>
            </w:pPr>
          </w:p>
          <w:p w:rsidR="002308A8" w:rsidRPr="006963B5" w:rsidRDefault="002308A8" w:rsidP="002308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3.1.2. Consolidar esquemas de colaboración interinstitucional que promuevan la capacitación, certificación y actualización de competencias laborales para mejorar las oportunidades de empleo entre la población. 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CB7C86" w:rsidRPr="00985B24">
        <w:rPr>
          <w:b/>
          <w:sz w:val="40"/>
        </w:rPr>
        <w:t>: OPERACIÓN</w:t>
      </w:r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90B81" w:rsidP="00D90B81">
            <w:pPr>
              <w:jc w:val="both"/>
            </w:pPr>
            <w:r>
              <w:t xml:space="preserve">La falta de capacidad para bajar recursos externos al municipio debido a que las Direcciones de la </w:t>
            </w:r>
            <w:r w:rsidR="001A03AE" w:rsidRPr="001A03AE">
              <w:t xml:space="preserve">Coordinación están trabajando al máximo de sus capacidades, por lo cual ha muchas de ellas no les resulta posible hacer el seguimiento de los diversos apoyos Federales, Estatales y del Sector Privado para el desarrollo de proyectos en sus respectivas áreas, menos aún realizar las gestiones pertinentes. 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90B81" w:rsidP="00C75E81">
            <w:r>
              <w:t>Apoyos, recursos y/o convenios de colaboración de origen Federal, Estatal</w:t>
            </w:r>
            <w:r w:rsidRPr="00D90B81">
              <w:t xml:space="preserve"> </w:t>
            </w:r>
            <w:r w:rsidR="00CB7C86" w:rsidRPr="00D90B81">
              <w:t>y del</w:t>
            </w:r>
            <w:r w:rsidRPr="00D90B81">
              <w:t xml:space="preserve"> Sector Privado, p</w:t>
            </w:r>
            <w:r>
              <w:t>ara la realización de proyectos municipales.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154D4" w:rsidRDefault="002154D4" w:rsidP="002154D4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 xml:space="preserve">Búsqueda y clasificación de apoyos, programas y convocatorias de origen Federal, Estatal </w:t>
            </w:r>
            <w:r w:rsidR="00CB7C86">
              <w:t>y Sector</w:t>
            </w:r>
            <w:r>
              <w:t xml:space="preserve"> Privado, en los que puedan participar las Direcciones de la Coordinación de General de Desarrollo Económico y Combate a la Desigualdad</w:t>
            </w:r>
            <w:r w:rsidR="003878D9">
              <w:t xml:space="preserve"> o que se pueden ingresar proyectos municipales.</w:t>
            </w:r>
          </w:p>
          <w:p w:rsidR="002154D4" w:rsidRDefault="002154D4" w:rsidP="003878D9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Análisis de las reglas de operación</w:t>
            </w:r>
            <w:r w:rsidR="009756EE">
              <w:t xml:space="preserve"> de </w:t>
            </w:r>
            <w:r w:rsidR="00EC65A8">
              <w:t xml:space="preserve">los </w:t>
            </w:r>
            <w:r w:rsidR="00CB7C86">
              <w:t>apoyos</w:t>
            </w:r>
            <w:r w:rsidR="00EC65A8">
              <w:t>, pr</w:t>
            </w:r>
            <w:r w:rsidR="009756EE">
              <w:t xml:space="preserve">ogramas y/o </w:t>
            </w:r>
            <w:r w:rsidR="00CB7C86">
              <w:t>convocatorias</w:t>
            </w:r>
            <w:r w:rsidR="009756EE">
              <w:t xml:space="preserve"> seleccionadas</w:t>
            </w:r>
            <w:r>
              <w:t>.</w:t>
            </w:r>
          </w:p>
          <w:p w:rsidR="002154D4" w:rsidRDefault="002154D4" w:rsidP="00AA2A8B">
            <w:pPr>
              <w:pStyle w:val="Prrafodelista"/>
              <w:numPr>
                <w:ilvl w:val="0"/>
                <w:numId w:val="6"/>
              </w:numPr>
              <w:tabs>
                <w:tab w:val="left" w:pos="1897"/>
              </w:tabs>
              <w:spacing w:after="200" w:line="276" w:lineRule="auto"/>
            </w:pPr>
            <w:r>
              <w:t>Evaluar la fa</w:t>
            </w:r>
            <w:r w:rsidR="008A7843">
              <w:t>ctibilidad en conjunto con las D</w:t>
            </w:r>
            <w:r>
              <w:t>irec</w:t>
            </w:r>
            <w:r w:rsidR="00EC65A8">
              <w:t>ciones</w:t>
            </w:r>
            <w:r w:rsidR="008A7843">
              <w:t xml:space="preserve"> pertinentes de solicitar y </w:t>
            </w:r>
            <w:r w:rsidR="00CB7C86">
              <w:t>tramitar</w:t>
            </w:r>
            <w:r w:rsidR="008A7843">
              <w:t xml:space="preserve"> los apoyos identificados.</w:t>
            </w:r>
          </w:p>
          <w:p w:rsidR="00EC65A8" w:rsidRDefault="008A7843" w:rsidP="00AA2A8B">
            <w:pPr>
              <w:pStyle w:val="Prrafodelista"/>
              <w:numPr>
                <w:ilvl w:val="0"/>
                <w:numId w:val="6"/>
              </w:numPr>
              <w:tabs>
                <w:tab w:val="left" w:pos="1897"/>
              </w:tabs>
              <w:spacing w:after="200" w:line="276" w:lineRule="auto"/>
            </w:pPr>
            <w:r>
              <w:t xml:space="preserve">Elaborar en conjunto con las direcciones o </w:t>
            </w:r>
            <w:r w:rsidR="00CB7C86">
              <w:t>áreas pertinentes</w:t>
            </w:r>
            <w:r>
              <w:t xml:space="preserve"> proyectos para ser ingresados a los apoyos, programas y/o convocatorias </w:t>
            </w:r>
            <w:r w:rsidR="00CB7C86">
              <w:t>seleccionadas</w:t>
            </w:r>
            <w:r>
              <w:t>, en caso de ser necesario.</w:t>
            </w:r>
          </w:p>
          <w:p w:rsidR="002154D4" w:rsidRDefault="008A7843" w:rsidP="00AA2A8B">
            <w:pPr>
              <w:pStyle w:val="Prrafodelista"/>
              <w:numPr>
                <w:ilvl w:val="0"/>
                <w:numId w:val="6"/>
              </w:numPr>
              <w:tabs>
                <w:tab w:val="left" w:pos="1897"/>
              </w:tabs>
              <w:spacing w:after="200" w:line="276" w:lineRule="auto"/>
            </w:pPr>
            <w:r>
              <w:t>Realizar las g</w:t>
            </w:r>
            <w:r w:rsidR="002154D4">
              <w:t xml:space="preserve">estiones administrativas para </w:t>
            </w:r>
            <w:r>
              <w:t xml:space="preserve">tramitar y adquirir </w:t>
            </w:r>
            <w:r w:rsidR="002154D4">
              <w:t>los apoyos seleccionados.</w:t>
            </w:r>
          </w:p>
          <w:p w:rsidR="002154D4" w:rsidRDefault="002154D4" w:rsidP="00AA2A8B">
            <w:pPr>
              <w:pStyle w:val="Prrafodelista"/>
              <w:numPr>
                <w:ilvl w:val="0"/>
                <w:numId w:val="6"/>
              </w:numPr>
              <w:tabs>
                <w:tab w:val="left" w:pos="1897"/>
              </w:tabs>
              <w:spacing w:after="200" w:line="276" w:lineRule="auto"/>
            </w:pPr>
            <w:r>
              <w:t>Vigilar y supervisar el correcto uso de los recursos adquiridos para los proyectos, conforme a las reglas de operación y convenios de los mismos.</w:t>
            </w:r>
          </w:p>
          <w:p w:rsidR="00D758E5" w:rsidRDefault="002154D4" w:rsidP="00AA2A8B">
            <w:pPr>
              <w:pStyle w:val="Prrafodelista"/>
              <w:numPr>
                <w:ilvl w:val="0"/>
                <w:numId w:val="6"/>
              </w:numPr>
              <w:tabs>
                <w:tab w:val="left" w:pos="1897"/>
              </w:tabs>
              <w:spacing w:after="200" w:line="276" w:lineRule="auto"/>
            </w:pPr>
            <w:r>
              <w:t xml:space="preserve">Dar seguimiento a los </w:t>
            </w:r>
            <w:r w:rsidR="00CB7C86">
              <w:t>trámites</w:t>
            </w:r>
            <w:r w:rsidR="008A7843">
              <w:t xml:space="preserve"> y a</w:t>
            </w:r>
            <w:r>
              <w:t>poyos adquiridos en las diversas plataformas o instituciones de donde se obtuvieran, para su correcta operación y cierre.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A2A8B" w:rsidP="00AA2A8B">
            <w:pPr>
              <w:rPr>
                <w:rFonts w:ascii="Calibri" w:hAnsi="Calibri" w:cs="Calibri"/>
                <w:color w:val="000000"/>
              </w:rPr>
            </w:pPr>
            <w:r>
              <w:t xml:space="preserve">Apoyos, recursos y/o convenios de </w:t>
            </w:r>
            <w:r>
              <w:lastRenderedPageBreak/>
              <w:t>colaboración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A2A8B" w:rsidP="00AA2A8B">
            <w:pPr>
              <w:jc w:val="both"/>
              <w:rPr>
                <w:rFonts w:ascii="Calibri" w:hAnsi="Calibri" w:cs="Calibri"/>
                <w:color w:val="000000"/>
              </w:rPr>
            </w:pPr>
            <w:r w:rsidRPr="00AA2A8B">
              <w:rPr>
                <w:rFonts w:ascii="Calibri" w:hAnsi="Calibri" w:cs="Calibri"/>
                <w:color w:val="000000"/>
              </w:rPr>
              <w:lastRenderedPageBreak/>
              <w:t>Cantidad de apoyos</w:t>
            </w:r>
            <w:r>
              <w:rPr>
                <w:rFonts w:ascii="Calibri" w:hAnsi="Calibri" w:cs="Calibri"/>
                <w:color w:val="000000"/>
              </w:rPr>
              <w:t>, recursos y/o convenios</w:t>
            </w:r>
            <w:r w:rsidRPr="00AA2A8B">
              <w:rPr>
                <w:rFonts w:ascii="Calibri" w:hAnsi="Calibri" w:cs="Calibri"/>
                <w:color w:val="000000"/>
              </w:rPr>
              <w:t xml:space="preserve"> </w:t>
            </w:r>
            <w:r w:rsidRPr="00AA2A8B">
              <w:rPr>
                <w:rFonts w:ascii="Calibri" w:hAnsi="Calibri" w:cs="Calibri"/>
                <w:color w:val="000000"/>
              </w:rPr>
              <w:lastRenderedPageBreak/>
              <w:t>gestionado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AA2A8B">
              <w:rPr>
                <w:rFonts w:ascii="Calibri" w:hAnsi="Calibri" w:cs="Calibri"/>
                <w:color w:val="000000"/>
              </w:rPr>
              <w:t xml:space="preserve">, para las diversas direcciones de la coordinación </w:t>
            </w:r>
            <w:r>
              <w:rPr>
                <w:rFonts w:ascii="Calibri" w:hAnsi="Calibri" w:cs="Calibri"/>
                <w:color w:val="000000"/>
              </w:rPr>
              <w:t>y proyectos municipales.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A2A8B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AA2A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B7C86" w:rsidP="00CB7C86">
            <w:pPr>
              <w:jc w:val="both"/>
            </w:pPr>
            <w:r>
              <w:t>Búsqueda y clasificación de apoyos, programas y convocatorias de origen Federal, Estatal y Sector Privado, en los que puedan participar las Direcciones de la Coordinación de General de Desarrollo Económico y Combate a la Desigualdad o que se pueden ingresar proyectos municipales.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AA2A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B7C86" w:rsidP="00CB7C86">
            <w:pPr>
              <w:jc w:val="both"/>
            </w:pPr>
            <w:r>
              <w:t>Análisis de las reglas de operación de los apoyos, programas y/o convocatorias seleccionadas.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AA2A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B7C86" w:rsidP="00CB7C86">
            <w:pPr>
              <w:tabs>
                <w:tab w:val="left" w:pos="1897"/>
              </w:tabs>
              <w:jc w:val="both"/>
            </w:pPr>
            <w:r>
              <w:t>Evaluar la factibilidad en conjunto con las Direcciones pertinentes de solicitar y tramitar los apoyos identificados.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AA2A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B7C86" w:rsidP="00CB7C86">
            <w:pPr>
              <w:jc w:val="both"/>
            </w:pPr>
            <w:r w:rsidRPr="00CB7C86">
              <w:t>Elaborar en conjunto con las direcciones o áreas pertinentes proyectos para ser ingresados a los apoyos, programas y/o convocatorias seleccionadas, en caso de ser necesario.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AA2A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B7C86" w:rsidP="00CB7C86">
            <w:pPr>
              <w:tabs>
                <w:tab w:val="left" w:pos="1897"/>
              </w:tabs>
              <w:jc w:val="both"/>
            </w:pPr>
            <w:r>
              <w:t>Realizar las gestiones administrativas para tramitar y adquirir los apoyos seleccionados.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AA2A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B7C86" w:rsidP="00CB7C86">
            <w:pPr>
              <w:jc w:val="both"/>
            </w:pPr>
            <w:r w:rsidRPr="00CB7C86">
              <w:t xml:space="preserve">Vigilar y supervisar el correcto uso de los recursos </w:t>
            </w:r>
            <w:r w:rsidRPr="00CB7C86">
              <w:lastRenderedPageBreak/>
              <w:t>adquiridos para los proyectos, conforme a las reglas de operación y convenios de los mismos.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AA2A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B7C86" w:rsidP="00CB7C86">
            <w:pPr>
              <w:jc w:val="both"/>
            </w:pPr>
            <w:r>
              <w:t>Dar seguimiento a los trámites y apoyos adquiridos en las diversas plataformas o instituciones de donde se obtuvieran, para su correcta operación y cierre.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FD5BEB" w:rsidP="00AA2A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B027D" w:rsidRPr="002B027D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B027D" w:rsidRPr="002B027D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44"/>
    <w:multiLevelType w:val="hybridMultilevel"/>
    <w:tmpl w:val="ED86D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270B7F4B"/>
    <w:multiLevelType w:val="hybridMultilevel"/>
    <w:tmpl w:val="ED86D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B66"/>
    <w:multiLevelType w:val="hybridMultilevel"/>
    <w:tmpl w:val="ED86D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AC7"/>
    <w:multiLevelType w:val="hybridMultilevel"/>
    <w:tmpl w:val="ED86D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0B18"/>
    <w:multiLevelType w:val="hybridMultilevel"/>
    <w:tmpl w:val="ED86D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03AE"/>
    <w:rsid w:val="001A597F"/>
    <w:rsid w:val="002154D4"/>
    <w:rsid w:val="002308A8"/>
    <w:rsid w:val="00233105"/>
    <w:rsid w:val="0024680E"/>
    <w:rsid w:val="002B027D"/>
    <w:rsid w:val="002F08F4"/>
    <w:rsid w:val="002F5975"/>
    <w:rsid w:val="003878D9"/>
    <w:rsid w:val="00476A3C"/>
    <w:rsid w:val="004B1033"/>
    <w:rsid w:val="005014C2"/>
    <w:rsid w:val="0057477E"/>
    <w:rsid w:val="005C50F9"/>
    <w:rsid w:val="005F6BB1"/>
    <w:rsid w:val="00613CE2"/>
    <w:rsid w:val="006560DD"/>
    <w:rsid w:val="0068072A"/>
    <w:rsid w:val="007206CD"/>
    <w:rsid w:val="0074755C"/>
    <w:rsid w:val="0076351F"/>
    <w:rsid w:val="007D08A5"/>
    <w:rsid w:val="008824CC"/>
    <w:rsid w:val="0089051B"/>
    <w:rsid w:val="008A3650"/>
    <w:rsid w:val="008A7843"/>
    <w:rsid w:val="00946B9B"/>
    <w:rsid w:val="009756EE"/>
    <w:rsid w:val="00985B24"/>
    <w:rsid w:val="009A2296"/>
    <w:rsid w:val="009B23B5"/>
    <w:rsid w:val="00A139FA"/>
    <w:rsid w:val="00A248DA"/>
    <w:rsid w:val="00A624F2"/>
    <w:rsid w:val="00A65BAF"/>
    <w:rsid w:val="00A67619"/>
    <w:rsid w:val="00A80D75"/>
    <w:rsid w:val="00AA22B4"/>
    <w:rsid w:val="00AA2A8B"/>
    <w:rsid w:val="00AD6073"/>
    <w:rsid w:val="00B15ABE"/>
    <w:rsid w:val="00B3346E"/>
    <w:rsid w:val="00B64EE1"/>
    <w:rsid w:val="00BD0CE5"/>
    <w:rsid w:val="00C3660A"/>
    <w:rsid w:val="00CB7C86"/>
    <w:rsid w:val="00CC372D"/>
    <w:rsid w:val="00D758E5"/>
    <w:rsid w:val="00D86FEF"/>
    <w:rsid w:val="00D8768D"/>
    <w:rsid w:val="00D90B81"/>
    <w:rsid w:val="00DD0E4C"/>
    <w:rsid w:val="00E40804"/>
    <w:rsid w:val="00EC65A8"/>
    <w:rsid w:val="00F11932"/>
    <w:rsid w:val="00F62B11"/>
    <w:rsid w:val="00F7585E"/>
    <w:rsid w:val="00FC64D0"/>
    <w:rsid w:val="00FD5BEB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1C5F414-6044-4D06-8C6A-59C68B9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CC3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6DB1-FB2D-4074-86DD-C0A863F8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2</cp:revision>
  <dcterms:created xsi:type="dcterms:W3CDTF">2019-10-29T20:34:00Z</dcterms:created>
  <dcterms:modified xsi:type="dcterms:W3CDTF">2019-10-29T20:34:00Z</dcterms:modified>
</cp:coreProperties>
</file>