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D5E40" w:rsidRDefault="007D5E40" w:rsidP="007D5E40">
            <w:r>
              <w:t xml:space="preserve">Dirección de Planeación y Programación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D5E40" w:rsidRDefault="007D5E40" w:rsidP="007D5E40">
            <w:pPr>
              <w:jc w:val="right"/>
              <w:rPr>
                <w:b/>
                <w:sz w:val="24"/>
              </w:rPr>
            </w:pPr>
          </w:p>
          <w:p w:rsidR="007D5E40" w:rsidRPr="00970FDC" w:rsidRDefault="007D5E40" w:rsidP="007D5E4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C1698" w:rsidRPr="00802F9E" w:rsidRDefault="003C1698" w:rsidP="003C1698">
            <w:r w:rsidRPr="00802F9E">
              <w:t xml:space="preserve">Programa ICLEI Pacto </w:t>
            </w:r>
            <w:r w:rsidR="00AF7097">
              <w:t xml:space="preserve">de Alcaldes </w:t>
            </w:r>
            <w:r w:rsidRPr="00802F9E">
              <w:t xml:space="preserve">por el </w:t>
            </w:r>
            <w:r w:rsidR="00AF7097">
              <w:t>C</w:t>
            </w:r>
            <w:r w:rsidRPr="00802F9E">
              <w:t xml:space="preserve">lima </w:t>
            </w:r>
            <w:r w:rsidR="00AF7097">
              <w:t>– 3er compromiso</w:t>
            </w:r>
          </w:p>
          <w:p w:rsidR="007D5E40" w:rsidRDefault="007D5E40" w:rsidP="00C6031A"/>
        </w:tc>
        <w:tc>
          <w:tcPr>
            <w:tcW w:w="2108" w:type="dxa"/>
            <w:vMerge/>
            <w:shd w:val="clear" w:color="auto" w:fill="FBD4B4" w:themeFill="accent6" w:themeFillTint="66"/>
          </w:tcPr>
          <w:p w:rsidR="007D5E40" w:rsidRDefault="007D5E40" w:rsidP="007D5E40"/>
        </w:tc>
      </w:tr>
      <w:tr w:rsidR="007D5E40" w:rsidTr="00A248DA">
        <w:tc>
          <w:tcPr>
            <w:tcW w:w="1441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7D3480" wp14:editId="7E53CFC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896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7688C" wp14:editId="6452BF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Pr="007D5E40" w:rsidRDefault="007D5E4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688C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7D5E40" w:rsidRPr="007D5E40" w:rsidRDefault="007D5E4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9953FD" wp14:editId="763804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53F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D5E40" w:rsidRDefault="007D5E40" w:rsidP="007D5E4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D5E40" w:rsidRPr="001777B2" w:rsidRDefault="007D5E40" w:rsidP="007D5E4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0CC49" wp14:editId="2B49F98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CC49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D5E40" w:rsidRDefault="007D5E40" w:rsidP="007D5E4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D5E40" w:rsidRDefault="007D5E40" w:rsidP="007D5E4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F707FC" wp14:editId="52FA3B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07FC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7D5E40" w:rsidRDefault="007D5E4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D5E40" w:rsidRDefault="007D5E40" w:rsidP="007D5E40"/>
        </w:tc>
        <w:tc>
          <w:tcPr>
            <w:tcW w:w="2108" w:type="dxa"/>
          </w:tcPr>
          <w:p w:rsidR="007D5E40" w:rsidRDefault="00AD4A81" w:rsidP="007D5E40">
            <w:pPr>
              <w:jc w:val="center"/>
            </w:pPr>
            <w:r>
              <w:t xml:space="preserve">Octubre </w:t>
            </w:r>
            <w:r w:rsidR="007B5FE5">
              <w:t xml:space="preserve">2019 </w:t>
            </w:r>
            <w:r>
              <w:t xml:space="preserve">– </w:t>
            </w:r>
            <w:proofErr w:type="gramStart"/>
            <w:r>
              <w:t>Septiembre</w:t>
            </w:r>
            <w:proofErr w:type="gramEnd"/>
            <w:r w:rsidR="007B5FE5">
              <w:t xml:space="preserve"> 2020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D5E40" w:rsidRPr="001777B2" w:rsidRDefault="007D5E40" w:rsidP="007D5E4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Default="007D5E40" w:rsidP="007D5E40">
            <w:pPr>
              <w:rPr>
                <w:b/>
              </w:rPr>
            </w:pPr>
          </w:p>
          <w:p w:rsidR="007D5E40" w:rsidRPr="007E72C1" w:rsidRDefault="007D5E40" w:rsidP="007D5E40">
            <w:pPr>
              <w:rPr>
                <w:b/>
              </w:rPr>
            </w:pPr>
          </w:p>
        </w:tc>
      </w:tr>
      <w:tr w:rsidR="007D5E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B5FE5" w:rsidRDefault="001F2F61" w:rsidP="007D5E40">
            <w:r>
              <w:t xml:space="preserve">Acompañar los procesos de coordinación interinstitucional encaminados a </w:t>
            </w:r>
            <w:r>
              <w:t xml:space="preserve">establecer compromisos de reducción de emisiones de </w:t>
            </w:r>
            <w:r>
              <w:t>CO2</w:t>
            </w:r>
            <w:r>
              <w:t xml:space="preserve"> provenientes del sector industrial y energético en el municipio</w:t>
            </w:r>
            <w:r>
              <w:t>.</w:t>
            </w:r>
          </w:p>
        </w:tc>
      </w:tr>
      <w:tr w:rsidR="00AD4A8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D4A81" w:rsidRPr="00C76E9F" w:rsidRDefault="00AD4A81" w:rsidP="00AD4A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D4A81" w:rsidRDefault="00AD4A81" w:rsidP="00AD4A81">
            <w:r w:rsidRPr="00AD4A81">
              <w:t xml:space="preserve">4.4 Recuperación de Servicios Ambientales y Reducción de Emisiones de Gases de </w:t>
            </w:r>
            <w:proofErr w:type="gramStart"/>
            <w:r w:rsidRPr="00AD4A81">
              <w:t>Efecto  Invernadero</w:t>
            </w:r>
            <w:proofErr w:type="gramEnd"/>
            <w:r w:rsidRPr="00AD4A81">
              <w:t xml:space="preserve"> (GEI).</w:t>
            </w:r>
          </w:p>
          <w:p w:rsidR="007622FF" w:rsidRPr="00AD4A81" w:rsidRDefault="007622FF" w:rsidP="00AD4A81"/>
        </w:tc>
      </w:tr>
      <w:tr w:rsidR="00AD4A81" w:rsidTr="00C6031A">
        <w:trPr>
          <w:trHeight w:val="999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AD4A81" w:rsidRPr="00C76E9F" w:rsidRDefault="00AD4A81" w:rsidP="00AD4A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D4A81" w:rsidRPr="00AD4A81" w:rsidRDefault="00AD4A81" w:rsidP="00AD4A81">
            <w:pPr>
              <w:pStyle w:val="Prrafodelista"/>
              <w:numPr>
                <w:ilvl w:val="2"/>
                <w:numId w:val="3"/>
              </w:numPr>
              <w:spacing w:after="5" w:line="269" w:lineRule="auto"/>
              <w:ind w:right="74"/>
              <w:jc w:val="both"/>
            </w:pPr>
            <w:r w:rsidRPr="00AD4A81">
              <w:t xml:space="preserve">Establecer los planes y normas ambientales que articulen los esfuerzos encaminados a la reducción de emisiones de CO2 y otros gases de efecto invernadero que causan efectos de calentamiento global y cambio climático.  </w:t>
            </w:r>
          </w:p>
          <w:p w:rsidR="00AD4A81" w:rsidRPr="00AD4A81" w:rsidRDefault="00AD4A81" w:rsidP="00AD4A8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F7097" w:rsidP="00C75E81">
            <w:r>
              <w:t>Si bien h</w:t>
            </w:r>
            <w:r w:rsidRPr="00C61B57">
              <w:t>emos avanzado en los trabajos relativos al inventario de emisiones de</w:t>
            </w:r>
            <w:r w:rsidR="007622FF" w:rsidRPr="007622F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7622FF" w:rsidRPr="007622FF">
              <w:t>Gases y Compuestos de Efecto Invernadero (</w:t>
            </w:r>
            <w:proofErr w:type="spellStart"/>
            <w:r w:rsidR="007622FF" w:rsidRPr="007622FF">
              <w:t>GyCEI</w:t>
            </w:r>
            <w:proofErr w:type="spellEnd"/>
            <w:r w:rsidR="007622FF" w:rsidRPr="007622FF">
              <w:t>)</w:t>
            </w:r>
            <w:r w:rsidRPr="00C61B57">
              <w:t>, para generar la línea base de emisiones a nivel municipal, a partir de la cual podamos medir las reducciones logradas en los siguientes tres años</w:t>
            </w:r>
            <w:r>
              <w:t>, una gran cantidad de emisiones se realizan por parte de actividades económicas (industriales) que son regidas bajo normatividad estatal y federal, por lo que el Gobierno Municipal no puede intervenir para su reducción</w:t>
            </w:r>
            <w:r w:rsidRPr="00C61B57">
              <w:t>.</w:t>
            </w:r>
            <w:r>
              <w:t xml:space="preserve"> Por ello resulta importante establecer comunicación y coordinación con las instancias competentes estatales y federales en aras de acordar una estrategia coordinada encaminada a reducir las emisiones de CO2.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81FAB" w:rsidP="00C75E81">
            <w:r>
              <w:t>Inventario de emisiones de CO2</w:t>
            </w:r>
            <w:r w:rsidR="0076468C">
              <w:t xml:space="preserve"> y </w:t>
            </w:r>
            <w:r w:rsidR="0076468C" w:rsidRPr="007622FF">
              <w:t>Gases y Compuestos de Efecto Invernadero (</w:t>
            </w:r>
            <w:proofErr w:type="spellStart"/>
            <w:r w:rsidR="0076468C" w:rsidRPr="007622FF">
              <w:t>GyCEI</w:t>
            </w:r>
            <w:proofErr w:type="spellEnd"/>
            <w:r w:rsidR="0076468C" w:rsidRPr="007622FF">
              <w:t>)</w:t>
            </w:r>
            <w:r w:rsidR="0076468C" w:rsidRPr="00C61B57">
              <w:t>,</w:t>
            </w:r>
            <w:r>
              <w:t xml:space="preserve"> de las principales fuentes generadoras en el municipio en coordinación con </w:t>
            </w:r>
            <w:r w:rsidR="007622FF">
              <w:t>el Instituto</w:t>
            </w:r>
            <w:r>
              <w:t xml:space="preserve"> de los Recursos Mundiales (WRI por sus siglas en inglés), la SEMADET y el IMEPLAN.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622FF" w:rsidP="00C75E81">
            <w:r w:rsidRPr="000904B7">
              <w:t xml:space="preserve">Capacitación en </w:t>
            </w:r>
            <w:r>
              <w:t>a</w:t>
            </w:r>
            <w:r w:rsidRPr="000904B7">
              <w:t>spectos generales</w:t>
            </w:r>
            <w:r>
              <w:t xml:space="preserve"> a funcionarios de las áreas de medio ambiente, inspección y vigilancia y padrón y licencias por parte del personal WRI-IMEPLAN, r</w:t>
            </w:r>
            <w:r w:rsidRPr="000904B7">
              <w:t>ecopilación de información</w:t>
            </w:r>
            <w:r>
              <w:t xml:space="preserve"> interna e institucional y de campo , aseguramiento y control de la calidad de la información generada, estimación de emisiones por fuente y categoría, documentación, aseguramiento y control de la calidad de las estimaciones, sistematización y estandarización de base de datos, reuniones de seguimiento, análisis de los datos e identificación de acciones para reducir emisiones como base del programa de acción climática municipal, informe final. 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6468C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8C" w:rsidRDefault="0076468C" w:rsidP="0076468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6468C" w:rsidRDefault="0076468C" w:rsidP="007646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realización de las etapas programadas para la integración 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t xml:space="preserve">nventario de emisiones de </w:t>
            </w:r>
            <w:r w:rsidRPr="007622FF">
              <w:t>Gases y Compuestos de Efecto Invernadero (</w:t>
            </w:r>
            <w:proofErr w:type="spellStart"/>
            <w:r w:rsidRPr="007622FF">
              <w:t>GyCEI</w:t>
            </w:r>
            <w:proofErr w:type="spellEnd"/>
            <w:r w:rsidRPr="007622FF">
              <w:t>)</w:t>
            </w:r>
            <w: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8C" w:rsidRDefault="0076468C" w:rsidP="0076468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6468C" w:rsidRDefault="0076468C" w:rsidP="007646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etapas realizadas en el periodo.</w:t>
            </w:r>
          </w:p>
          <w:p w:rsidR="0076468C" w:rsidRDefault="0076468C" w:rsidP="007646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8C" w:rsidRDefault="00F226A1" w:rsidP="007646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76468C">
              <w:rPr>
                <w:rFonts w:ascii="Calibri" w:hAnsi="Calibri" w:cs="Calibri"/>
                <w:color w:val="000000"/>
              </w:rPr>
              <w:t xml:space="preserve"> etapas</w:t>
            </w:r>
          </w:p>
        </w:tc>
      </w:tr>
    </w:tbl>
    <w:p w:rsidR="006560DD" w:rsidRDefault="006560DD" w:rsidP="006560DD"/>
    <w:p w:rsidR="00F226A1" w:rsidRDefault="00F226A1" w:rsidP="006560DD"/>
    <w:p w:rsidR="0057477E" w:rsidRPr="005F4855" w:rsidRDefault="0057477E" w:rsidP="006560DD">
      <w:pPr>
        <w:rPr>
          <w:sz w:val="14"/>
          <w:szCs w:val="14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proofErr w:type="gramStart"/>
            <w:r w:rsidRPr="002B2543">
              <w:rPr>
                <w:b/>
              </w:rPr>
              <w:t>Anual  de</w:t>
            </w:r>
            <w:proofErr w:type="gramEnd"/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D030A5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030A5" w:rsidRDefault="00D030A5" w:rsidP="00D030A5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030A5" w:rsidRPr="002B2543" w:rsidRDefault="00D030A5" w:rsidP="00D030A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647A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647A7" w:rsidRPr="00A316F5" w:rsidRDefault="002647A7" w:rsidP="002647A7">
            <w:r w:rsidRPr="000904B7">
              <w:t xml:space="preserve">Capacitación en </w:t>
            </w:r>
            <w:r>
              <w:t>a</w:t>
            </w:r>
            <w:r w:rsidRPr="000904B7">
              <w:t>spectos generales</w:t>
            </w:r>
            <w:r>
              <w:t xml:space="preserve"> a funcionarios de las áreas de medio ambiente, inspección y vigilancia y padrón y licencias por parte del personal WRI-IMEPLAN</w:t>
            </w:r>
          </w:p>
        </w:tc>
        <w:tc>
          <w:tcPr>
            <w:tcW w:w="25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  <w:r w:rsidRPr="00FF23D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6A2A0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6A2A0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6A2A0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</w:tr>
      <w:tr w:rsidR="002647A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647A7" w:rsidRPr="00A316F5" w:rsidRDefault="002647A7" w:rsidP="002647A7">
            <w:r>
              <w:t>R</w:t>
            </w:r>
            <w:r w:rsidRPr="000904B7">
              <w:t>ecopilación de información</w:t>
            </w:r>
            <w:r>
              <w:t xml:space="preserve"> interna e institucional y de campo</w:t>
            </w:r>
          </w:p>
        </w:tc>
        <w:tc>
          <w:tcPr>
            <w:tcW w:w="25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  <w:r w:rsidRPr="00FF23D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</w:tr>
      <w:tr w:rsidR="002647A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647A7" w:rsidRPr="00A316F5" w:rsidRDefault="002647A7" w:rsidP="002647A7">
            <w:r>
              <w:t>A</w:t>
            </w:r>
            <w:r>
              <w:t>seguramiento y control de la calidad de la información generada</w:t>
            </w:r>
          </w:p>
        </w:tc>
        <w:tc>
          <w:tcPr>
            <w:tcW w:w="25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3A00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</w:tr>
      <w:tr w:rsidR="002647A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647A7" w:rsidRPr="00A316F5" w:rsidRDefault="002647A7" w:rsidP="002647A7">
            <w:r>
              <w:t>E</w:t>
            </w:r>
            <w:r>
              <w:t>stimación de emisiones por fuente y categoría</w:t>
            </w:r>
          </w:p>
        </w:tc>
        <w:tc>
          <w:tcPr>
            <w:tcW w:w="25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0A31F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0A31F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647A7" w:rsidRDefault="002647A7" w:rsidP="002647A7">
            <w:pPr>
              <w:jc w:val="center"/>
            </w:pPr>
            <w:r w:rsidRPr="000A31F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2647A7" w:rsidRDefault="002647A7" w:rsidP="002647A7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</w:tr>
      <w:tr w:rsidR="00A657F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657F5" w:rsidRPr="00A316F5" w:rsidRDefault="00A657F5" w:rsidP="00A657F5">
            <w:r>
              <w:t>D</w:t>
            </w:r>
            <w:r>
              <w:t>ocumentación, aseguramiento y control de la calidad de las estimaciones</w:t>
            </w:r>
          </w:p>
        </w:tc>
        <w:tc>
          <w:tcPr>
            <w:tcW w:w="259" w:type="pct"/>
            <w:shd w:val="clear" w:color="auto" w:fill="auto"/>
          </w:tcPr>
          <w:p w:rsidR="00A657F5" w:rsidRPr="00145F76" w:rsidRDefault="00A657F5" w:rsidP="00A657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57F5" w:rsidRPr="00145F76" w:rsidRDefault="00A657F5" w:rsidP="00A657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657F5" w:rsidRPr="00145F76" w:rsidRDefault="00A657F5" w:rsidP="00A657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57F5" w:rsidRPr="00145F76" w:rsidRDefault="00A657F5" w:rsidP="00A657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57F5" w:rsidRPr="00145F76" w:rsidRDefault="00A657F5" w:rsidP="00A657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57F5" w:rsidRPr="00145F76" w:rsidRDefault="00A657F5" w:rsidP="00A657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57F5" w:rsidRPr="00145F76" w:rsidRDefault="00A657F5" w:rsidP="00A657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657F5" w:rsidRDefault="00A657F5" w:rsidP="00A657F5">
            <w:pPr>
              <w:jc w:val="center"/>
            </w:pPr>
            <w:r w:rsidRPr="00854BD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657F5" w:rsidRDefault="00A657F5" w:rsidP="00A657F5">
            <w:pPr>
              <w:jc w:val="center"/>
            </w:pPr>
            <w:r w:rsidRPr="00854BD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657F5" w:rsidRPr="00145F76" w:rsidRDefault="00A657F5" w:rsidP="00A657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57F5" w:rsidRDefault="00A657F5" w:rsidP="00A657F5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A657F5" w:rsidRDefault="00A657F5" w:rsidP="00A657F5">
            <w:pPr>
              <w:jc w:val="center"/>
            </w:pPr>
          </w:p>
        </w:tc>
      </w:tr>
      <w:tr w:rsidR="0033063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3063A" w:rsidRPr="00A316F5" w:rsidRDefault="0033063A" w:rsidP="0033063A">
            <w:r>
              <w:t>S</w:t>
            </w:r>
            <w:r>
              <w:t>istematización y estandarización de base de datos</w:t>
            </w:r>
          </w:p>
        </w:tc>
        <w:tc>
          <w:tcPr>
            <w:tcW w:w="259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854BD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854BD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</w:tr>
      <w:tr w:rsidR="002647A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647A7" w:rsidRDefault="002647A7" w:rsidP="002647A7">
            <w:r>
              <w:t>R</w:t>
            </w:r>
            <w:r>
              <w:t>euniones de seguimiento</w:t>
            </w:r>
          </w:p>
          <w:p w:rsidR="002647A7" w:rsidRPr="00A316F5" w:rsidRDefault="002647A7" w:rsidP="002647A7"/>
        </w:tc>
        <w:tc>
          <w:tcPr>
            <w:tcW w:w="25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</w:tr>
      <w:tr w:rsidR="0033063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3063A" w:rsidRDefault="0033063A" w:rsidP="0033063A">
            <w:r>
              <w:t>A</w:t>
            </w:r>
            <w:r>
              <w:t>nálisis de los datos e identificación de acciones para reducir emisiones como base del programa de acción climática municipal</w:t>
            </w:r>
          </w:p>
          <w:p w:rsidR="0033063A" w:rsidRPr="00A316F5" w:rsidRDefault="0033063A" w:rsidP="0033063A"/>
        </w:tc>
        <w:tc>
          <w:tcPr>
            <w:tcW w:w="259" w:type="pct"/>
            <w:shd w:val="clear" w:color="auto" w:fill="auto"/>
          </w:tcPr>
          <w:p w:rsidR="0033063A" w:rsidRPr="00145F76" w:rsidRDefault="0033063A" w:rsidP="003306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3063A" w:rsidRDefault="0033063A" w:rsidP="0033063A">
            <w:pPr>
              <w:jc w:val="center"/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</w:tr>
      <w:tr w:rsidR="008022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022BF" w:rsidRDefault="008022BF" w:rsidP="0033063A">
            <w:r>
              <w:t>Informes parciales</w:t>
            </w:r>
          </w:p>
          <w:p w:rsidR="008022BF" w:rsidRDefault="008022BF" w:rsidP="0033063A"/>
        </w:tc>
        <w:tc>
          <w:tcPr>
            <w:tcW w:w="259" w:type="pct"/>
            <w:shd w:val="clear" w:color="auto" w:fill="auto"/>
          </w:tcPr>
          <w:p w:rsidR="008022BF" w:rsidRPr="00145F76" w:rsidRDefault="008022BF" w:rsidP="003306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auto"/>
          </w:tcPr>
          <w:p w:rsidR="008022BF" w:rsidRPr="00610A9F" w:rsidRDefault="008022BF" w:rsidP="00330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7A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647A7" w:rsidRDefault="002647A7" w:rsidP="002647A7">
            <w:r>
              <w:t>I</w:t>
            </w:r>
            <w:r>
              <w:t>nforme final</w:t>
            </w:r>
          </w:p>
          <w:p w:rsidR="002647A7" w:rsidRDefault="002647A7" w:rsidP="002647A7"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647A7" w:rsidRPr="00145F76" w:rsidRDefault="002647A7" w:rsidP="002647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647A7" w:rsidRPr="00145F76" w:rsidRDefault="008022BF" w:rsidP="002647A7">
            <w:pPr>
              <w:jc w:val="center"/>
              <w:rPr>
                <w:sz w:val="20"/>
              </w:rPr>
            </w:pPr>
            <w:r w:rsidRPr="00610A9F">
              <w:rPr>
                <w:b/>
                <w:sz w:val="28"/>
                <w:szCs w:val="28"/>
              </w:rPr>
              <w:t>x</w:t>
            </w:r>
          </w:p>
        </w:tc>
      </w:tr>
    </w:tbl>
    <w:p w:rsidR="007E72C1" w:rsidRDefault="007E72C1" w:rsidP="005F4855">
      <w:pPr>
        <w:rPr>
          <w:i/>
          <w:sz w:val="16"/>
        </w:rPr>
      </w:pPr>
    </w:p>
    <w:sectPr w:rsidR="007E72C1" w:rsidSect="005F4855">
      <w:headerReference w:type="default" r:id="rId8"/>
      <w:footerReference w:type="default" r:id="rId9"/>
      <w:pgSz w:w="15840" w:h="12240" w:orient="landscape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16" w:rsidRDefault="00800316" w:rsidP="00985B24">
      <w:pPr>
        <w:spacing w:after="0" w:line="240" w:lineRule="auto"/>
      </w:pPr>
      <w:r>
        <w:separator/>
      </w:r>
    </w:p>
  </w:endnote>
  <w:endnote w:type="continuationSeparator" w:id="0">
    <w:p w:rsidR="00800316" w:rsidRDefault="0080031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B2570" w:rsidRPr="009B2570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B2570" w:rsidRPr="009B2570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16" w:rsidRDefault="00800316" w:rsidP="00985B24">
      <w:pPr>
        <w:spacing w:after="0" w:line="240" w:lineRule="auto"/>
      </w:pPr>
      <w:r>
        <w:separator/>
      </w:r>
    </w:p>
  </w:footnote>
  <w:footnote w:type="continuationSeparator" w:id="0">
    <w:p w:rsidR="00800316" w:rsidRDefault="0080031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4E7"/>
    <w:multiLevelType w:val="multilevel"/>
    <w:tmpl w:val="083E8D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6CCD"/>
    <w:multiLevelType w:val="hybridMultilevel"/>
    <w:tmpl w:val="7160E23E"/>
    <w:lvl w:ilvl="0" w:tplc="1E7A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EB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4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0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02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C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6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5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368E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2F61"/>
    <w:rsid w:val="001F5170"/>
    <w:rsid w:val="001F6241"/>
    <w:rsid w:val="00210BB5"/>
    <w:rsid w:val="00233105"/>
    <w:rsid w:val="00234813"/>
    <w:rsid w:val="0024680E"/>
    <w:rsid w:val="002647A7"/>
    <w:rsid w:val="002F08F4"/>
    <w:rsid w:val="002F5975"/>
    <w:rsid w:val="0033063A"/>
    <w:rsid w:val="00381FAB"/>
    <w:rsid w:val="003C1698"/>
    <w:rsid w:val="003E071B"/>
    <w:rsid w:val="003F415E"/>
    <w:rsid w:val="00476A3C"/>
    <w:rsid w:val="004B1033"/>
    <w:rsid w:val="005014C2"/>
    <w:rsid w:val="0057477E"/>
    <w:rsid w:val="005B7A11"/>
    <w:rsid w:val="005C50F9"/>
    <w:rsid w:val="005F4855"/>
    <w:rsid w:val="005F6BB1"/>
    <w:rsid w:val="00613CE2"/>
    <w:rsid w:val="006560DD"/>
    <w:rsid w:val="006561A1"/>
    <w:rsid w:val="0068072A"/>
    <w:rsid w:val="006925AB"/>
    <w:rsid w:val="006E54E5"/>
    <w:rsid w:val="007206CD"/>
    <w:rsid w:val="007622FF"/>
    <w:rsid w:val="0076351F"/>
    <w:rsid w:val="0076468C"/>
    <w:rsid w:val="007B5FE5"/>
    <w:rsid w:val="007D08A5"/>
    <w:rsid w:val="007D5E40"/>
    <w:rsid w:val="007E72C1"/>
    <w:rsid w:val="00800316"/>
    <w:rsid w:val="008022BF"/>
    <w:rsid w:val="008161B6"/>
    <w:rsid w:val="008824CC"/>
    <w:rsid w:val="0089051B"/>
    <w:rsid w:val="008A3650"/>
    <w:rsid w:val="00946B9B"/>
    <w:rsid w:val="00981CDC"/>
    <w:rsid w:val="00985B24"/>
    <w:rsid w:val="009A2296"/>
    <w:rsid w:val="009B23B5"/>
    <w:rsid w:val="009B2570"/>
    <w:rsid w:val="00A248DA"/>
    <w:rsid w:val="00A624F2"/>
    <w:rsid w:val="00A657F5"/>
    <w:rsid w:val="00A65BAF"/>
    <w:rsid w:val="00A67619"/>
    <w:rsid w:val="00A80D75"/>
    <w:rsid w:val="00A83FCB"/>
    <w:rsid w:val="00AA22B4"/>
    <w:rsid w:val="00AD4A81"/>
    <w:rsid w:val="00AD6073"/>
    <w:rsid w:val="00AF7097"/>
    <w:rsid w:val="00B15ABE"/>
    <w:rsid w:val="00B3346E"/>
    <w:rsid w:val="00B64EE1"/>
    <w:rsid w:val="00BB3A69"/>
    <w:rsid w:val="00BD0CE5"/>
    <w:rsid w:val="00BF37C5"/>
    <w:rsid w:val="00C3660A"/>
    <w:rsid w:val="00C6031A"/>
    <w:rsid w:val="00CB30CB"/>
    <w:rsid w:val="00D030A5"/>
    <w:rsid w:val="00D13C3E"/>
    <w:rsid w:val="00D37300"/>
    <w:rsid w:val="00D62268"/>
    <w:rsid w:val="00D758E5"/>
    <w:rsid w:val="00D86FEF"/>
    <w:rsid w:val="00D8768D"/>
    <w:rsid w:val="00E40804"/>
    <w:rsid w:val="00F10C4B"/>
    <w:rsid w:val="00F11932"/>
    <w:rsid w:val="00F226A1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E249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E738-C66F-4A8D-BAB9-65CBA51B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Admin01</cp:lastModifiedBy>
  <cp:revision>29</cp:revision>
  <dcterms:created xsi:type="dcterms:W3CDTF">2019-11-19T20:48:00Z</dcterms:created>
  <dcterms:modified xsi:type="dcterms:W3CDTF">2020-03-27T00:53:00Z</dcterms:modified>
</cp:coreProperties>
</file>