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7D5E40" w:rsidTr="00A248DA">
        <w:tc>
          <w:tcPr>
            <w:tcW w:w="1441" w:type="dxa"/>
            <w:shd w:val="clear" w:color="auto" w:fill="D9D9D9" w:themeFill="background1" w:themeFillShade="D9"/>
          </w:tcPr>
          <w:p w:rsidR="007D5E40" w:rsidRPr="005C396B" w:rsidRDefault="007D5E40" w:rsidP="007D5E4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D5E40" w:rsidRPr="005C396B" w:rsidRDefault="007D5E40" w:rsidP="007D5E4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D5E40" w:rsidRDefault="007D5E40" w:rsidP="007D5E40">
            <w:r>
              <w:t xml:space="preserve">Dirección de Planeación y Programación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D5E40" w:rsidRDefault="007D5E40" w:rsidP="007D5E40">
            <w:pPr>
              <w:jc w:val="right"/>
              <w:rPr>
                <w:b/>
                <w:sz w:val="24"/>
              </w:rPr>
            </w:pPr>
          </w:p>
          <w:p w:rsidR="007D5E40" w:rsidRPr="00970FDC" w:rsidRDefault="007D5E40" w:rsidP="007D5E4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7D5E40" w:rsidTr="00A248DA">
        <w:tc>
          <w:tcPr>
            <w:tcW w:w="1441" w:type="dxa"/>
            <w:shd w:val="clear" w:color="auto" w:fill="D9D9D9" w:themeFill="background1" w:themeFillShade="D9"/>
          </w:tcPr>
          <w:p w:rsidR="007D5E40" w:rsidRPr="005C396B" w:rsidRDefault="007D5E40" w:rsidP="007D5E4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29750B" w:rsidRPr="00802F9E" w:rsidRDefault="0029750B" w:rsidP="0029750B">
            <w:bookmarkStart w:id="0" w:name="_Hlk36053478"/>
            <w:r w:rsidRPr="00802F9E">
              <w:t>Estrategia de Internacionalización del Gobierno Municipal 1ª Etapa</w:t>
            </w:r>
          </w:p>
          <w:bookmarkEnd w:id="0"/>
          <w:p w:rsidR="007D5E40" w:rsidRDefault="007D5E40" w:rsidP="0029750B"/>
        </w:tc>
        <w:tc>
          <w:tcPr>
            <w:tcW w:w="2108" w:type="dxa"/>
            <w:vMerge/>
            <w:shd w:val="clear" w:color="auto" w:fill="FBD4B4" w:themeFill="accent6" w:themeFillTint="66"/>
          </w:tcPr>
          <w:p w:rsidR="007D5E40" w:rsidRDefault="007D5E40" w:rsidP="007D5E40"/>
        </w:tc>
      </w:tr>
      <w:tr w:rsidR="007D5E40" w:rsidTr="00A248DA">
        <w:tc>
          <w:tcPr>
            <w:tcW w:w="1441" w:type="dxa"/>
            <w:shd w:val="clear" w:color="auto" w:fill="FBD4B4" w:themeFill="accent6" w:themeFillTint="66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07D3480" wp14:editId="7E53CFCA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A04D71" id="Rectángulo 2" o:spid="_x0000_s1026" style="position:absolute;margin-left:21.75pt;margin-top:1.8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057688C" wp14:editId="6452BFEA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E40" w:rsidRPr="007D5E40" w:rsidRDefault="007D5E40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7688C" id="Rectángulo 1" o:spid="_x0000_s1026" style="position:absolute;left:0;text-align:left;margin-left:22.75pt;margin-top:15.2pt;width:21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7D5E40" w:rsidRPr="007D5E40" w:rsidRDefault="007D5E40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59953FD" wp14:editId="763804E5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E40" w:rsidRDefault="007D5E4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953FD" id="Rectángulo 4" o:spid="_x0000_s1027" style="position:absolute;left:0;text-align:left;margin-left:24.45pt;margin-top:15.2pt;width:20.2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7D5E40" w:rsidRDefault="007D5E4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D5E40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D5E40" w:rsidRPr="005C396B" w:rsidRDefault="007D5E40" w:rsidP="007D5E4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D5E4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7D5E40" w:rsidRDefault="007D5E40" w:rsidP="007D5E4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D5E40" w:rsidRPr="001777B2" w:rsidRDefault="007D5E40" w:rsidP="007D5E4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7D5E40" w:rsidRDefault="007D5E40" w:rsidP="007D5E4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E20CC49" wp14:editId="2B49F98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E40" w:rsidRDefault="007D5E4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0CC49" id="Rectángulo 5" o:spid="_x0000_s1028" style="position:absolute;left:0;text-align:left;margin-left:9.75pt;margin-top:4.6pt;width:20.2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7D5E40" w:rsidRDefault="007D5E4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D5E40" w:rsidRDefault="007D5E40" w:rsidP="007D5E4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D5E40" w:rsidRDefault="007D5E40" w:rsidP="007D5E4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FF707FC" wp14:editId="52FA3B1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7D5E40" w:rsidRDefault="007D5E4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707FC" id="Rectángulo 6" o:spid="_x0000_s1029" style="position:absolute;left:0;text-align:left;margin-left:1.4pt;margin-top:5.35pt;width:20.2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7D5E40" w:rsidRDefault="007D5E4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7D5E40" w:rsidRDefault="007D5E40" w:rsidP="007D5E40"/>
        </w:tc>
        <w:tc>
          <w:tcPr>
            <w:tcW w:w="2108" w:type="dxa"/>
          </w:tcPr>
          <w:p w:rsidR="007D5E40" w:rsidRDefault="0043102D" w:rsidP="007D5E40">
            <w:pPr>
              <w:jc w:val="center"/>
            </w:pPr>
            <w:r>
              <w:t xml:space="preserve">Enero </w:t>
            </w:r>
            <w:proofErr w:type="gramStart"/>
            <w:r w:rsidR="00C9590D">
              <w:t>20</w:t>
            </w:r>
            <w:r>
              <w:t>20</w:t>
            </w:r>
            <w:r w:rsidR="00C9590D">
              <w:t xml:space="preserve">  –</w:t>
            </w:r>
            <w:proofErr w:type="gramEnd"/>
            <w:r w:rsidR="00C9590D">
              <w:t xml:space="preserve"> </w:t>
            </w:r>
            <w:r>
              <w:t xml:space="preserve">Diciembre </w:t>
            </w:r>
            <w:r w:rsidR="00C9590D">
              <w:t>2020</w:t>
            </w:r>
          </w:p>
        </w:tc>
      </w:tr>
      <w:tr w:rsidR="007D5E4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7D5E40" w:rsidRPr="001777B2" w:rsidRDefault="007D5E40" w:rsidP="007D5E4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D5E40" w:rsidRDefault="007D5E40" w:rsidP="007D5E40">
            <w:pPr>
              <w:rPr>
                <w:b/>
              </w:rPr>
            </w:pPr>
          </w:p>
          <w:p w:rsidR="007D5E40" w:rsidRPr="007E72C1" w:rsidRDefault="007D5E40" w:rsidP="007D5E40">
            <w:pPr>
              <w:rPr>
                <w:b/>
              </w:rPr>
            </w:pPr>
          </w:p>
        </w:tc>
      </w:tr>
      <w:tr w:rsidR="007D5E4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7D5E40" w:rsidRPr="00C76E9F" w:rsidRDefault="007D5E40" w:rsidP="007D5E4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D5E40" w:rsidRDefault="001D3806" w:rsidP="001D3806">
            <w:r>
              <w:t xml:space="preserve">Implementar una herramienta de política pública para la ejecución de acciones de internacionalización que promuevan el desarrollo integral del municipio, atendiendo prioritariamente </w:t>
            </w:r>
            <w:bookmarkStart w:id="1" w:name="_Hlk36053817"/>
            <w:r>
              <w:t xml:space="preserve">las agendas de seguridad, movilidad y desarrollo económico. </w:t>
            </w:r>
            <w:bookmarkEnd w:id="1"/>
          </w:p>
        </w:tc>
      </w:tr>
      <w:tr w:rsidR="0029750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9750B" w:rsidRPr="00C76E9F" w:rsidRDefault="0029750B" w:rsidP="0029750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9750B" w:rsidRPr="0029750B" w:rsidRDefault="0029750B" w:rsidP="0029750B">
            <w:pPr>
              <w:rPr>
                <w:rFonts w:cstheme="minorHAnsi"/>
              </w:rPr>
            </w:pPr>
          </w:p>
          <w:p w:rsidR="0029750B" w:rsidRPr="0029750B" w:rsidRDefault="0029750B" w:rsidP="0029750B">
            <w:pPr>
              <w:rPr>
                <w:rFonts w:cstheme="minorHAnsi"/>
              </w:rPr>
            </w:pPr>
            <w:r w:rsidRPr="0029750B">
              <w:rPr>
                <w:rFonts w:cstheme="minorHAnsi"/>
              </w:rPr>
              <w:t xml:space="preserve">7.7 Fortalecer la Cooperación Internacional para </w:t>
            </w:r>
            <w:proofErr w:type="spellStart"/>
            <w:r w:rsidRPr="0029750B">
              <w:rPr>
                <w:rFonts w:cstheme="minorHAnsi"/>
              </w:rPr>
              <w:t>eficientar</w:t>
            </w:r>
            <w:proofErr w:type="spellEnd"/>
            <w:r w:rsidRPr="0029750B">
              <w:rPr>
                <w:rFonts w:cstheme="minorHAnsi"/>
              </w:rPr>
              <w:t xml:space="preserve"> la gestión local</w:t>
            </w:r>
          </w:p>
          <w:p w:rsidR="0029750B" w:rsidRPr="0029750B" w:rsidRDefault="0029750B" w:rsidP="0029750B">
            <w:pPr>
              <w:rPr>
                <w:rFonts w:cstheme="minorHAnsi"/>
              </w:rPr>
            </w:pPr>
          </w:p>
        </w:tc>
      </w:tr>
      <w:tr w:rsidR="0029750B" w:rsidTr="00C6031A">
        <w:trPr>
          <w:trHeight w:val="999"/>
        </w:trPr>
        <w:tc>
          <w:tcPr>
            <w:tcW w:w="4337" w:type="dxa"/>
            <w:gridSpan w:val="3"/>
            <w:shd w:val="clear" w:color="auto" w:fill="D9D9D9" w:themeFill="background1" w:themeFillShade="D9"/>
          </w:tcPr>
          <w:p w:rsidR="0029750B" w:rsidRPr="00C76E9F" w:rsidRDefault="0029750B" w:rsidP="0029750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9750B" w:rsidRPr="0029750B" w:rsidRDefault="0029750B" w:rsidP="0029750B">
            <w:pPr>
              <w:rPr>
                <w:rFonts w:cstheme="minorHAnsi"/>
              </w:rPr>
            </w:pPr>
          </w:p>
          <w:p w:rsidR="0029750B" w:rsidRPr="0029750B" w:rsidRDefault="0029750B" w:rsidP="0029750B">
            <w:pPr>
              <w:spacing w:line="269" w:lineRule="auto"/>
              <w:ind w:right="74"/>
            </w:pPr>
            <w:r w:rsidRPr="0029750B">
              <w:rPr>
                <w:rFonts w:cstheme="minorHAnsi"/>
              </w:rPr>
              <w:t xml:space="preserve">7.7.1 </w:t>
            </w:r>
            <w:r w:rsidRPr="0029750B">
              <w:t xml:space="preserve">Vincular las políticas públicas municipales con las agencias de cooperación internacional para potenciar el desarrollo local. </w:t>
            </w:r>
          </w:p>
          <w:p w:rsidR="0029750B" w:rsidRPr="0029750B" w:rsidRDefault="0029750B" w:rsidP="0029750B">
            <w:pPr>
              <w:spacing w:line="269" w:lineRule="auto"/>
              <w:ind w:right="74"/>
              <w:rPr>
                <w:rFonts w:cstheme="minorHAnsi"/>
              </w:rPr>
            </w:pPr>
          </w:p>
          <w:p w:rsidR="0029750B" w:rsidRPr="0029750B" w:rsidRDefault="0029750B" w:rsidP="0029750B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79756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79756A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1D3806" w:rsidP="0079756A">
            <w:r>
              <w:t xml:space="preserve">De acuerdo al </w:t>
            </w:r>
            <w:r w:rsidR="00F545F1">
              <w:t xml:space="preserve">Plan de Internacionalización de San Pedro Tlaquepaque, realizado por el </w:t>
            </w:r>
            <w:proofErr w:type="spellStart"/>
            <w:r>
              <w:t>Tec</w:t>
            </w:r>
            <w:proofErr w:type="spellEnd"/>
            <w:r>
              <w:t xml:space="preserve"> de Monterrey</w:t>
            </w:r>
            <w:r w:rsidR="00F545F1">
              <w:t xml:space="preserve"> durante 2019</w:t>
            </w:r>
            <w:r w:rsidR="00C70698">
              <w:t xml:space="preserve"> se identifica la condición actual del municipio en la que se señala que Tlaquepaque</w:t>
            </w:r>
            <w:r>
              <w:t>: “</w:t>
            </w:r>
            <w:r w:rsidRPr="00C70698">
              <w:rPr>
                <w:i/>
                <w:iCs/>
              </w:rPr>
              <w:t>es un municipio complejo</w:t>
            </w:r>
            <w:r w:rsidR="00C70698">
              <w:rPr>
                <w:i/>
                <w:iCs/>
              </w:rPr>
              <w:t>:</w:t>
            </w:r>
            <w:r w:rsidRPr="00C70698">
              <w:rPr>
                <w:i/>
                <w:iCs/>
              </w:rPr>
              <w:t xml:space="preserve"> mientras que existen colonias que parecen estar atrapadas en el tiempo por su desarrollo, hay sectores que forman partes de </w:t>
            </w:r>
            <w:proofErr w:type="spellStart"/>
            <w:r w:rsidRPr="00C70698">
              <w:rPr>
                <w:i/>
                <w:iCs/>
              </w:rPr>
              <w:t>clústers</w:t>
            </w:r>
            <w:proofErr w:type="spellEnd"/>
            <w:r w:rsidRPr="00C70698">
              <w:rPr>
                <w:i/>
                <w:iCs/>
              </w:rPr>
              <w:t xml:space="preserve"> internacionales dedicadas a las tecnologías de punta. Esto ha dificultado el diseño de una política pública generalizada que mejore la vida de cientos de miles de </w:t>
            </w:r>
            <w:proofErr w:type="spellStart"/>
            <w:r w:rsidRPr="00C70698">
              <w:rPr>
                <w:i/>
                <w:iCs/>
              </w:rPr>
              <w:t>tlaquepaquenses</w:t>
            </w:r>
            <w:proofErr w:type="spellEnd"/>
            <w:r w:rsidRPr="00C70698">
              <w:rPr>
                <w:i/>
                <w:iCs/>
              </w:rPr>
              <w:t>, que viven realidades muy distintas, y que logre posicionar al municipio en el escenario internacional</w:t>
            </w:r>
            <w:r w:rsidRPr="001D3806">
              <w:t>.</w:t>
            </w:r>
            <w:r>
              <w:t>”</w:t>
            </w:r>
            <w:r w:rsidR="00C70698">
              <w:t xml:space="preserve"> En este sentido, es necesario identificar los esquemas de cooperación internacional que permitan al municipio establecer iniciativas de desarrollo que puedan subsanar las carencias identificadas en tres ámbitos prioritarios: </w:t>
            </w:r>
            <w:r w:rsidR="00C70698">
              <w:t>seguridad, movilidad y desarrollo económico</w:t>
            </w:r>
            <w:r w:rsidR="00C70698">
              <w:t xml:space="preserve">, dentro de un marco de sostenibilidad ambiental. </w:t>
            </w:r>
          </w:p>
        </w:tc>
      </w:tr>
      <w:tr w:rsidR="00D758E5" w:rsidTr="0079756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79756A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23D6" w:rsidRDefault="00E823D6" w:rsidP="0079756A"/>
          <w:p w:rsidR="00D758E5" w:rsidRDefault="00F545F1" w:rsidP="0079756A">
            <w:r>
              <w:t xml:space="preserve">Identificación de convocatorias, fondos, redes de ciudades y agencias de cooperación internacional. </w:t>
            </w:r>
          </w:p>
        </w:tc>
      </w:tr>
      <w:tr w:rsidR="00D758E5" w:rsidTr="0079756A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79756A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23D6" w:rsidRDefault="00E823D6" w:rsidP="0079756A"/>
          <w:p w:rsidR="008319A6" w:rsidRDefault="00E823D6" w:rsidP="0079756A">
            <w:r>
              <w:t xml:space="preserve">Revisión interna del documento entregado por el </w:t>
            </w:r>
            <w:proofErr w:type="spellStart"/>
            <w:r>
              <w:t>Tec</w:t>
            </w:r>
            <w:proofErr w:type="spellEnd"/>
            <w:r>
              <w:t xml:space="preserve"> de Monterrey en Diciembre 2019, discusión y elaboración de planteamiento estratégico para la implementación involucrando la </w:t>
            </w:r>
            <w:proofErr w:type="spellStart"/>
            <w:r>
              <w:t>Coord</w:t>
            </w:r>
            <w:proofErr w:type="spellEnd"/>
            <w:r>
              <w:t xml:space="preserve"> </w:t>
            </w:r>
            <w:proofErr w:type="spellStart"/>
            <w:r>
              <w:t>Gral</w:t>
            </w:r>
            <w:proofErr w:type="spellEnd"/>
            <w:r>
              <w:t xml:space="preserve"> de Desarrollo Económico y Combate a la Desigualdad y a la Dirección </w:t>
            </w:r>
            <w:proofErr w:type="spellStart"/>
            <w:r>
              <w:t>Geneal</w:t>
            </w:r>
            <w:proofErr w:type="spellEnd"/>
            <w:r>
              <w:t xml:space="preserve"> de Políticas Públicas; socialización interna y capacitación a equipo en la aplicación de la Agenda 2030 de desarrollo y para la internacionalización municipal; conformación de unidad orgánica para la gestión de procesos de internacionalización; impulsar los ejes prioritarios del municipio a través de oportunidades de internacionalización (mapeo de convocatorias, fondos, redes de ciudades, agencias de cooperación internacional, fondos internacionales y hermanamientos); revisión de buenas prácticas internacionales que pudieran ser replicables en Tlaquepaque, aplicados a las agendas de seguridad, movilidad y desarrollo económico; presentación de agenda de fondos y oportunidades de cooperación internacional para el 2º semestre de 2020; presentación de agenda de fondos y oportunidades de cooperación internacional para el 1er semestre de 2021.</w:t>
            </w:r>
          </w:p>
        </w:tc>
      </w:tr>
      <w:tr w:rsidR="00D758E5" w:rsidTr="0079756A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79756A">
            <w:pPr>
              <w:jc w:val="center"/>
              <w:rPr>
                <w:b/>
              </w:rPr>
            </w:pPr>
          </w:p>
          <w:p w:rsidR="00D758E5" w:rsidRPr="00CE4CAD" w:rsidRDefault="00D758E5" w:rsidP="0079756A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79756A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79756A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79756A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79756A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9D3B84" w:rsidTr="0079756A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84" w:rsidRPr="008319A6" w:rsidRDefault="009D3B84" w:rsidP="009D3B84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 xml:space="preserve">Porcentaje de avance en la implementación del </w:t>
            </w:r>
            <w:r>
              <w:t xml:space="preserve">Plan de Internacionalización de San Pedro Tlaquepaque. 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84" w:rsidRDefault="009D3B84" w:rsidP="009D3B8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D3B84" w:rsidRDefault="009D3B84" w:rsidP="009D3B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etapas realizadas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B84" w:rsidRDefault="009D3B84" w:rsidP="009D3B84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D3B84" w:rsidRDefault="009D3B84" w:rsidP="009D3B8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 etapas cumplidas</w:t>
            </w:r>
          </w:p>
        </w:tc>
      </w:tr>
    </w:tbl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79756A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proofErr w:type="gramStart"/>
            <w:r w:rsidRPr="002B2543">
              <w:rPr>
                <w:b/>
              </w:rPr>
              <w:t>Anual  de</w:t>
            </w:r>
            <w:proofErr w:type="gramEnd"/>
            <w:r w:rsidRPr="002B2543">
              <w:rPr>
                <w:b/>
              </w:rPr>
              <w:t xml:space="preserve">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79756A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79756A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43102D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43102D" w:rsidRDefault="0043102D" w:rsidP="0043102D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43102D" w:rsidRPr="002B2543" w:rsidRDefault="0043102D" w:rsidP="0043102D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43102D" w:rsidRPr="002B2543" w:rsidRDefault="0043102D" w:rsidP="0043102D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43102D" w:rsidRPr="002B2543" w:rsidRDefault="0043102D" w:rsidP="0043102D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43102D" w:rsidRPr="002B2543" w:rsidRDefault="0043102D" w:rsidP="0043102D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43102D" w:rsidRPr="002B2543" w:rsidRDefault="0043102D" w:rsidP="0043102D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43102D" w:rsidRPr="002B2543" w:rsidRDefault="0043102D" w:rsidP="0043102D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43102D" w:rsidRPr="002B2543" w:rsidRDefault="0043102D" w:rsidP="0043102D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43102D" w:rsidRPr="002B2543" w:rsidRDefault="0043102D" w:rsidP="0043102D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43102D" w:rsidRPr="002B2543" w:rsidRDefault="0043102D" w:rsidP="0043102D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43102D" w:rsidRPr="002B2543" w:rsidRDefault="0043102D" w:rsidP="0043102D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43102D" w:rsidRPr="002B2543" w:rsidRDefault="0043102D" w:rsidP="0043102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43102D" w:rsidRPr="002B2543" w:rsidRDefault="0043102D" w:rsidP="0043102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9D4BE8" w:rsidTr="0079756A">
        <w:trPr>
          <w:trHeight w:val="57"/>
        </w:trPr>
        <w:tc>
          <w:tcPr>
            <w:tcW w:w="1808" w:type="pct"/>
            <w:shd w:val="clear" w:color="auto" w:fill="auto"/>
          </w:tcPr>
          <w:p w:rsidR="009D4BE8" w:rsidRPr="00A316F5" w:rsidRDefault="009D4BE8" w:rsidP="009D4BE8">
            <w:r>
              <w:t xml:space="preserve">Revisión interna del documento entregado por el </w:t>
            </w:r>
            <w:proofErr w:type="spellStart"/>
            <w:r>
              <w:t>Tec</w:t>
            </w:r>
            <w:proofErr w:type="spellEnd"/>
            <w:r>
              <w:t xml:space="preserve"> de Monterrey en </w:t>
            </w:r>
            <w:proofErr w:type="gramStart"/>
            <w:r>
              <w:t>Diciembre</w:t>
            </w:r>
            <w:proofErr w:type="gramEnd"/>
            <w:r>
              <w:t xml:space="preserve"> 2019, discusión y elaboración de planteamiento estratégico para la implementación involucrando la </w:t>
            </w:r>
            <w:proofErr w:type="spellStart"/>
            <w:r>
              <w:t>Coord</w:t>
            </w:r>
            <w:proofErr w:type="spellEnd"/>
            <w:r>
              <w:t xml:space="preserve"> </w:t>
            </w:r>
            <w:proofErr w:type="spellStart"/>
            <w:r>
              <w:t>Gral</w:t>
            </w:r>
            <w:proofErr w:type="spellEnd"/>
            <w:r>
              <w:t xml:space="preserve"> de Desarrollo Económico y Combate a la Desigualdad y a la Dirección </w:t>
            </w:r>
            <w:proofErr w:type="spellStart"/>
            <w:r>
              <w:t>Geneal</w:t>
            </w:r>
            <w:proofErr w:type="spellEnd"/>
            <w:r>
              <w:t xml:space="preserve"> de Políticas Públicas</w:t>
            </w:r>
          </w:p>
        </w:tc>
        <w:tc>
          <w:tcPr>
            <w:tcW w:w="259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4BE8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4BE8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4BE8" w:rsidTr="0079756A">
        <w:trPr>
          <w:trHeight w:val="57"/>
        </w:trPr>
        <w:tc>
          <w:tcPr>
            <w:tcW w:w="1808" w:type="pct"/>
            <w:shd w:val="clear" w:color="auto" w:fill="auto"/>
          </w:tcPr>
          <w:p w:rsidR="009D4BE8" w:rsidRPr="00A316F5" w:rsidRDefault="009D4BE8" w:rsidP="009D4BE8">
            <w:r>
              <w:t>S</w:t>
            </w:r>
            <w:r>
              <w:t>ocialización interna y capacitación a equipo en la aplicación de la Agenda 2030 de desarrollo y para la internacionalización municipal</w:t>
            </w:r>
          </w:p>
        </w:tc>
        <w:tc>
          <w:tcPr>
            <w:tcW w:w="259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4BE8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4BE8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23D6" w:rsidTr="0079756A">
        <w:trPr>
          <w:trHeight w:val="57"/>
        </w:trPr>
        <w:tc>
          <w:tcPr>
            <w:tcW w:w="1808" w:type="pct"/>
            <w:shd w:val="clear" w:color="auto" w:fill="auto"/>
          </w:tcPr>
          <w:p w:rsidR="00E823D6" w:rsidRPr="00A316F5" w:rsidRDefault="00E823D6" w:rsidP="00E823D6">
            <w:r>
              <w:t>C</w:t>
            </w:r>
            <w:r>
              <w:t>onformación de unidad orgánica para la gestión de procesos de internacionalización</w:t>
            </w:r>
          </w:p>
        </w:tc>
        <w:tc>
          <w:tcPr>
            <w:tcW w:w="259" w:type="pct"/>
            <w:shd w:val="clear" w:color="auto" w:fill="auto"/>
          </w:tcPr>
          <w:p w:rsidR="00E823D6" w:rsidRPr="009D4BE8" w:rsidRDefault="00E823D6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E823D6" w:rsidRPr="009D4BE8" w:rsidRDefault="00E823D6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E823D6" w:rsidRPr="009D4BE8" w:rsidRDefault="00E823D6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E823D6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4BE8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23D6" w:rsidRPr="009D4BE8" w:rsidRDefault="00E823D6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E823D6" w:rsidRPr="009D4BE8" w:rsidRDefault="00E823D6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E823D6" w:rsidRPr="009D4BE8" w:rsidRDefault="00E823D6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E823D6" w:rsidRPr="009D4BE8" w:rsidRDefault="00E823D6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E823D6" w:rsidRPr="009D4BE8" w:rsidRDefault="00E823D6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E823D6" w:rsidRPr="009D4BE8" w:rsidRDefault="00E823D6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E823D6" w:rsidRPr="009D4BE8" w:rsidRDefault="00E823D6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E823D6" w:rsidRPr="009D4BE8" w:rsidRDefault="00E823D6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3102D" w:rsidTr="0079756A">
        <w:trPr>
          <w:trHeight w:val="57"/>
        </w:trPr>
        <w:tc>
          <w:tcPr>
            <w:tcW w:w="1808" w:type="pct"/>
            <w:shd w:val="clear" w:color="auto" w:fill="auto"/>
          </w:tcPr>
          <w:p w:rsidR="0043102D" w:rsidRPr="00A316F5" w:rsidRDefault="0043102D" w:rsidP="0043102D">
            <w:r>
              <w:t>I</w:t>
            </w:r>
            <w:r>
              <w:t>mpulsar los ejes prioritarios del municipio a través de oportunidades de internacionalización (mapeo de convocatorias, fondos, redes de ciudades, agencias de cooperación internacional, fondos internacionales y hermanamientos)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43102D" w:rsidRPr="009D4BE8" w:rsidRDefault="0043102D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43102D" w:rsidRPr="009D4BE8" w:rsidRDefault="0043102D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43102D" w:rsidRPr="009D4BE8" w:rsidRDefault="0043102D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43102D" w:rsidRPr="009D4BE8" w:rsidRDefault="0043102D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43102D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4BE8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3102D" w:rsidRPr="009D4BE8" w:rsidRDefault="0043102D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4BE8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3102D" w:rsidRPr="009D4BE8" w:rsidRDefault="0043102D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4BE8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3102D" w:rsidRPr="009D4BE8" w:rsidRDefault="0043102D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4BE8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3102D" w:rsidRPr="009D4BE8" w:rsidRDefault="0043102D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4BE8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3102D" w:rsidRPr="009D4BE8" w:rsidRDefault="0043102D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4BE8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3102D" w:rsidRPr="009D4BE8" w:rsidRDefault="0043102D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4BE8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43102D" w:rsidRPr="009D4BE8" w:rsidRDefault="0043102D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D4BE8" w:rsidTr="0079756A">
        <w:trPr>
          <w:trHeight w:val="57"/>
        </w:trPr>
        <w:tc>
          <w:tcPr>
            <w:tcW w:w="1808" w:type="pct"/>
            <w:shd w:val="clear" w:color="auto" w:fill="auto"/>
          </w:tcPr>
          <w:p w:rsidR="009D4BE8" w:rsidRPr="00A316F5" w:rsidRDefault="009D4BE8" w:rsidP="009D4BE8">
            <w:r>
              <w:lastRenderedPageBreak/>
              <w:t>R</w:t>
            </w:r>
            <w:r>
              <w:t>evisión de buenas prácticas internacionales que pudieran ser replicables en Tlaquepaque, aplicados a las agendas de seguridad, movilidad y desarrollo económico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9D4BE8" w:rsidRPr="00145F76" w:rsidRDefault="009D4BE8" w:rsidP="009D4BE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D4BE8" w:rsidRPr="00145F76" w:rsidRDefault="009D4BE8" w:rsidP="009D4BE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D4BE8" w:rsidRPr="00145F76" w:rsidRDefault="009D4BE8" w:rsidP="009D4B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D4BE8" w:rsidRPr="00145F76" w:rsidRDefault="009D4BE8" w:rsidP="009D4BE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D4BE8" w:rsidRDefault="009D4BE8" w:rsidP="009D4BE8">
            <w:r w:rsidRPr="009D4BE8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4BE8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4BE8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4BE8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9D4BE8" w:rsidRPr="009D4BE8" w:rsidRDefault="009D4BE8" w:rsidP="009D4BE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23D6" w:rsidTr="0079756A">
        <w:trPr>
          <w:trHeight w:val="57"/>
        </w:trPr>
        <w:tc>
          <w:tcPr>
            <w:tcW w:w="1808" w:type="pct"/>
            <w:shd w:val="clear" w:color="auto" w:fill="auto"/>
          </w:tcPr>
          <w:p w:rsidR="00E823D6" w:rsidRPr="00A316F5" w:rsidRDefault="00E823D6" w:rsidP="00E823D6">
            <w:r>
              <w:t>P</w:t>
            </w:r>
            <w:r>
              <w:t>resentación de agenda de fondos y oportunidades de cooperación internacional para el 2º semestre de 2020</w:t>
            </w:r>
          </w:p>
        </w:tc>
        <w:tc>
          <w:tcPr>
            <w:tcW w:w="259" w:type="pct"/>
            <w:shd w:val="clear" w:color="auto" w:fill="auto"/>
          </w:tcPr>
          <w:p w:rsidR="00E823D6" w:rsidRPr="009D4BE8" w:rsidRDefault="00E823D6" w:rsidP="00E82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E823D6" w:rsidRPr="009D4BE8" w:rsidRDefault="00E823D6" w:rsidP="00E82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E823D6" w:rsidRPr="009D4BE8" w:rsidRDefault="00E823D6" w:rsidP="00E82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E823D6" w:rsidRPr="009D4BE8" w:rsidRDefault="00E823D6" w:rsidP="00E82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E823D6" w:rsidRPr="009D4BE8" w:rsidRDefault="00E823D6" w:rsidP="00E82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E823D6" w:rsidRPr="009D4BE8" w:rsidRDefault="00E823D6" w:rsidP="00E82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E823D6" w:rsidRPr="009D4BE8" w:rsidRDefault="00E823D6" w:rsidP="00E82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E823D6" w:rsidRPr="009D4BE8" w:rsidRDefault="00E823D6" w:rsidP="00E82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E823D6" w:rsidRPr="009D4BE8" w:rsidRDefault="009D4BE8" w:rsidP="00E82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4BE8">
              <w:rPr>
                <w:rFonts w:cstheme="minorHAnsi"/>
                <w:b/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23D6" w:rsidRPr="009D4BE8" w:rsidRDefault="00E823D6" w:rsidP="00E82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E823D6" w:rsidRPr="009D4BE8" w:rsidRDefault="00E823D6" w:rsidP="00E82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E823D6" w:rsidRPr="009D4BE8" w:rsidRDefault="00E823D6" w:rsidP="00E82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823D6" w:rsidTr="0079756A">
        <w:trPr>
          <w:trHeight w:val="57"/>
        </w:trPr>
        <w:tc>
          <w:tcPr>
            <w:tcW w:w="1808" w:type="pct"/>
            <w:shd w:val="clear" w:color="auto" w:fill="auto"/>
          </w:tcPr>
          <w:p w:rsidR="00E823D6" w:rsidRPr="00A316F5" w:rsidRDefault="00E823D6" w:rsidP="00E823D6">
            <w:r>
              <w:t>P</w:t>
            </w:r>
            <w:r>
              <w:t>resentación de agenda de fondos y oportunidades de cooperación internacional para el 1er semestre de 2021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E823D6" w:rsidRPr="009D4BE8" w:rsidRDefault="00E823D6" w:rsidP="00E82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E823D6" w:rsidRPr="009D4BE8" w:rsidRDefault="00E823D6" w:rsidP="00E82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E823D6" w:rsidRPr="009D4BE8" w:rsidRDefault="00E823D6" w:rsidP="00E82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E823D6" w:rsidRPr="009D4BE8" w:rsidRDefault="00E823D6" w:rsidP="00E82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E823D6" w:rsidRPr="009D4BE8" w:rsidRDefault="00E823D6" w:rsidP="00E82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E823D6" w:rsidRPr="009D4BE8" w:rsidRDefault="00E823D6" w:rsidP="00E82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E823D6" w:rsidRPr="009D4BE8" w:rsidRDefault="00E823D6" w:rsidP="00E82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E823D6" w:rsidRPr="009D4BE8" w:rsidRDefault="00E823D6" w:rsidP="00E82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E823D6" w:rsidRPr="009D4BE8" w:rsidRDefault="00E823D6" w:rsidP="00E82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E823D6" w:rsidRPr="009D4BE8" w:rsidRDefault="00E823D6" w:rsidP="00E82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E823D6" w:rsidRPr="009D4BE8" w:rsidRDefault="00E823D6" w:rsidP="00E82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E823D6" w:rsidRPr="009D4BE8" w:rsidRDefault="0043102D" w:rsidP="00E823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4BE8">
              <w:rPr>
                <w:rFonts w:cstheme="minorHAnsi"/>
                <w:b/>
                <w:sz w:val="24"/>
                <w:szCs w:val="24"/>
              </w:rPr>
              <w:t>x</w:t>
            </w:r>
          </w:p>
        </w:tc>
      </w:tr>
    </w:tbl>
    <w:p w:rsidR="007E72C1" w:rsidRDefault="007E72C1" w:rsidP="006560DD">
      <w:pPr>
        <w:rPr>
          <w:iCs/>
          <w:sz w:val="16"/>
        </w:rPr>
      </w:pPr>
    </w:p>
    <w:p w:rsidR="004E6048" w:rsidRDefault="004E6048" w:rsidP="006560DD">
      <w:pPr>
        <w:rPr>
          <w:iCs/>
          <w:sz w:val="16"/>
        </w:rPr>
      </w:pPr>
    </w:p>
    <w:p w:rsidR="004E6048" w:rsidRPr="00E823D6" w:rsidRDefault="004E6048" w:rsidP="006560DD">
      <w:pPr>
        <w:rPr>
          <w:iCs/>
          <w:sz w:val="16"/>
        </w:rPr>
      </w:pPr>
      <w:bookmarkStart w:id="2" w:name="_GoBack"/>
      <w:bookmarkEnd w:id="2"/>
    </w:p>
    <w:sectPr w:rsidR="004E6048" w:rsidRPr="00E823D6" w:rsidSect="0079756A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7F6" w:rsidRDefault="00EC37F6" w:rsidP="00985B24">
      <w:pPr>
        <w:spacing w:after="0" w:line="240" w:lineRule="auto"/>
      </w:pPr>
      <w:r>
        <w:separator/>
      </w:r>
    </w:p>
  </w:endnote>
  <w:endnote w:type="continuationSeparator" w:id="0">
    <w:p w:rsidR="00EC37F6" w:rsidRDefault="00EC37F6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1F781B" w:rsidRPr="001F781B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F781B" w:rsidRPr="001F781B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7F6" w:rsidRDefault="00EC37F6" w:rsidP="00985B24">
      <w:pPr>
        <w:spacing w:after="0" w:line="240" w:lineRule="auto"/>
      </w:pPr>
      <w:r>
        <w:separator/>
      </w:r>
    </w:p>
  </w:footnote>
  <w:footnote w:type="continuationSeparator" w:id="0">
    <w:p w:rsidR="00EC37F6" w:rsidRDefault="00EC37F6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79756A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774E7"/>
    <w:multiLevelType w:val="multilevel"/>
    <w:tmpl w:val="083E8DD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  <w:sz w:val="2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B3B20"/>
    <w:rsid w:val="000C34E2"/>
    <w:rsid w:val="000C391B"/>
    <w:rsid w:val="00112287"/>
    <w:rsid w:val="001324C2"/>
    <w:rsid w:val="00144C96"/>
    <w:rsid w:val="001473C9"/>
    <w:rsid w:val="001A597F"/>
    <w:rsid w:val="001D3806"/>
    <w:rsid w:val="001F5170"/>
    <w:rsid w:val="001F781B"/>
    <w:rsid w:val="00210BB5"/>
    <w:rsid w:val="00233105"/>
    <w:rsid w:val="00234813"/>
    <w:rsid w:val="0024680E"/>
    <w:rsid w:val="0029750B"/>
    <w:rsid w:val="002F08F4"/>
    <w:rsid w:val="002F5975"/>
    <w:rsid w:val="003E071B"/>
    <w:rsid w:val="003F415E"/>
    <w:rsid w:val="00415058"/>
    <w:rsid w:val="0043102D"/>
    <w:rsid w:val="00476A3C"/>
    <w:rsid w:val="004B1033"/>
    <w:rsid w:val="004E6048"/>
    <w:rsid w:val="005014C2"/>
    <w:rsid w:val="0057477E"/>
    <w:rsid w:val="005B7A11"/>
    <w:rsid w:val="005C50F9"/>
    <w:rsid w:val="005F6BB1"/>
    <w:rsid w:val="00613CE2"/>
    <w:rsid w:val="00633171"/>
    <w:rsid w:val="006560DD"/>
    <w:rsid w:val="0068072A"/>
    <w:rsid w:val="006925AB"/>
    <w:rsid w:val="006E54E5"/>
    <w:rsid w:val="007206CD"/>
    <w:rsid w:val="0076351F"/>
    <w:rsid w:val="0079756A"/>
    <w:rsid w:val="007D08A5"/>
    <w:rsid w:val="007D5E40"/>
    <w:rsid w:val="007E72C1"/>
    <w:rsid w:val="008319A6"/>
    <w:rsid w:val="008824CC"/>
    <w:rsid w:val="0089051B"/>
    <w:rsid w:val="008A3650"/>
    <w:rsid w:val="008B08D7"/>
    <w:rsid w:val="00946B9B"/>
    <w:rsid w:val="00985B24"/>
    <w:rsid w:val="009A2296"/>
    <w:rsid w:val="009B23B5"/>
    <w:rsid w:val="009D3B84"/>
    <w:rsid w:val="009D4BE8"/>
    <w:rsid w:val="00A248DA"/>
    <w:rsid w:val="00A624F2"/>
    <w:rsid w:val="00A65BAF"/>
    <w:rsid w:val="00A67619"/>
    <w:rsid w:val="00A80D75"/>
    <w:rsid w:val="00AA22B4"/>
    <w:rsid w:val="00AD4A81"/>
    <w:rsid w:val="00AD6073"/>
    <w:rsid w:val="00B15ABE"/>
    <w:rsid w:val="00B3346E"/>
    <w:rsid w:val="00B64EE1"/>
    <w:rsid w:val="00BB3A69"/>
    <w:rsid w:val="00BD0CE5"/>
    <w:rsid w:val="00C3660A"/>
    <w:rsid w:val="00C6031A"/>
    <w:rsid w:val="00C70698"/>
    <w:rsid w:val="00C9590D"/>
    <w:rsid w:val="00CB30CB"/>
    <w:rsid w:val="00D13C3E"/>
    <w:rsid w:val="00D37300"/>
    <w:rsid w:val="00D758E5"/>
    <w:rsid w:val="00D86FEF"/>
    <w:rsid w:val="00D8768D"/>
    <w:rsid w:val="00E40804"/>
    <w:rsid w:val="00E823D6"/>
    <w:rsid w:val="00EA0593"/>
    <w:rsid w:val="00EC37F6"/>
    <w:rsid w:val="00F10C4B"/>
    <w:rsid w:val="00F11932"/>
    <w:rsid w:val="00F41171"/>
    <w:rsid w:val="00F545F1"/>
    <w:rsid w:val="00F62B11"/>
    <w:rsid w:val="00F803BC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B01F0"/>
  <w15:docId w15:val="{9DD85B2E-8F21-42ED-A3C0-A26759CD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FA25-1F7E-4C04-BD33-47D2034A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784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Loprena</dc:creator>
  <cp:keywords/>
  <dc:description/>
  <cp:lastModifiedBy>Admin01</cp:lastModifiedBy>
  <cp:revision>6</cp:revision>
  <dcterms:created xsi:type="dcterms:W3CDTF">2019-11-19T20:31:00Z</dcterms:created>
  <dcterms:modified xsi:type="dcterms:W3CDTF">2020-03-26T01:10:00Z</dcterms:modified>
</cp:coreProperties>
</file>