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A33C3" w:rsidRDefault="00985B24" w:rsidP="00985B24">
      <w:pPr>
        <w:rPr>
          <w:b/>
          <w:sz w:val="40"/>
        </w:rPr>
      </w:pPr>
    </w:p>
    <w:p w:rsidR="00156F8E" w:rsidRPr="00FA33C3" w:rsidRDefault="00156F8E" w:rsidP="00156F8E">
      <w:r w:rsidRPr="00FA33C3">
        <w:rPr>
          <w:b/>
          <w:sz w:val="40"/>
        </w:rPr>
        <w:t>ANEXO 1: DATOS GENERALES</w:t>
      </w:r>
      <w:r w:rsidR="0055184D" w:rsidRPr="00FA33C3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1101"/>
        <w:gridCol w:w="1276"/>
        <w:gridCol w:w="1275"/>
        <w:gridCol w:w="871"/>
        <w:gridCol w:w="689"/>
        <w:gridCol w:w="595"/>
        <w:gridCol w:w="680"/>
        <w:gridCol w:w="1588"/>
      </w:tblGrid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5527D0" w:rsidRPr="00FA33C3" w:rsidRDefault="005527D0" w:rsidP="006F4450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A)</w:t>
            </w:r>
            <w:r w:rsidR="00B528B7" w:rsidRPr="00FA33C3">
              <w:t xml:space="preserve"> </w:t>
            </w:r>
            <w:r w:rsidRPr="00FA33C3">
              <w:rPr>
                <w:sz w:val="20"/>
                <w:szCs w:val="20"/>
              </w:rPr>
              <w:t>Nombre del programa/proyecto/servicio/</w:t>
            </w:r>
            <w:r w:rsidR="000A6FEC" w:rsidRPr="00FA33C3">
              <w:rPr>
                <w:sz w:val="20"/>
                <w:szCs w:val="20"/>
              </w:rPr>
              <w:t xml:space="preserve"> </w:t>
            </w:r>
            <w:r w:rsidRPr="00FA33C3">
              <w:rPr>
                <w:sz w:val="20"/>
                <w:szCs w:val="20"/>
              </w:rPr>
              <w:t>campaña.</w:t>
            </w:r>
          </w:p>
        </w:tc>
        <w:tc>
          <w:tcPr>
            <w:tcW w:w="6228" w:type="dxa"/>
            <w:gridSpan w:val="6"/>
          </w:tcPr>
          <w:p w:rsidR="005527D0" w:rsidRPr="00FA33C3" w:rsidRDefault="00686495" w:rsidP="002B7616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3C3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r w:rsidR="005527D0" w:rsidRPr="00FA33C3">
              <w:rPr>
                <w:rFonts w:ascii="Arial" w:eastAsia="Times New Roman" w:hAnsi="Arial" w:cs="Arial"/>
                <w:sz w:val="20"/>
                <w:szCs w:val="20"/>
              </w:rPr>
              <w:t>Seguimiento y actualización del Proyecto Gestión para la construcción del Centro Municipal de Prevención y Reacción de Desastres Zona Sur, Santa Anita</w:t>
            </w:r>
            <w:r w:rsidR="00086A59" w:rsidRPr="00FA33C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527D0" w:rsidRPr="00FA33C3" w:rsidRDefault="005527D0" w:rsidP="009716A4">
            <w:r w:rsidRPr="00FA33C3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5527D0" w:rsidRPr="00FA33C3" w:rsidRDefault="005527D0" w:rsidP="009716A4">
            <w:pPr>
              <w:jc w:val="both"/>
            </w:pPr>
          </w:p>
        </w:tc>
      </w:tr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5527D0" w:rsidRPr="00FA33C3" w:rsidRDefault="005527D0" w:rsidP="006F4450">
            <w:r w:rsidRPr="00FA33C3">
              <w:t>B)</w:t>
            </w:r>
            <w:r w:rsidR="00B528B7" w:rsidRPr="00FA33C3">
              <w:t xml:space="preserve"> </w:t>
            </w:r>
            <w:r w:rsidRPr="00FA33C3">
              <w:t>Dirección o área responsable.</w:t>
            </w:r>
          </w:p>
        </w:tc>
        <w:tc>
          <w:tcPr>
            <w:tcW w:w="6228" w:type="dxa"/>
            <w:gridSpan w:val="6"/>
          </w:tcPr>
          <w:p w:rsidR="005527D0" w:rsidRPr="00FA33C3" w:rsidRDefault="005527D0" w:rsidP="004B501D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Dirección Administrativa de la Coordinación General de Protección Civil y Bomberos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27D0" w:rsidRPr="00FA33C3" w:rsidRDefault="005527D0" w:rsidP="009716A4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527D0" w:rsidRPr="00FA33C3" w:rsidRDefault="005527D0" w:rsidP="009716A4">
            <w:pPr>
              <w:jc w:val="both"/>
            </w:pPr>
          </w:p>
        </w:tc>
      </w:tr>
      <w:tr w:rsidR="00FA33C3" w:rsidRPr="00FA33C3" w:rsidTr="009716A4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5527D0" w:rsidRPr="00FA33C3" w:rsidRDefault="005527D0" w:rsidP="006F4450">
            <w:r w:rsidRPr="00FA33C3">
              <w:t>C)</w:t>
            </w:r>
            <w:r w:rsidR="00B528B7" w:rsidRPr="00FA33C3">
              <w:t xml:space="preserve"> </w:t>
            </w:r>
            <w:r w:rsidRPr="00FA33C3">
              <w:t xml:space="preserve">Problemática que atiende la </w:t>
            </w:r>
            <w:r w:rsidR="00B528B7" w:rsidRPr="00FA33C3">
              <w:t>propuesta.</w:t>
            </w:r>
          </w:p>
        </w:tc>
        <w:tc>
          <w:tcPr>
            <w:tcW w:w="6228" w:type="dxa"/>
            <w:gridSpan w:val="6"/>
            <w:vMerge w:val="restart"/>
          </w:tcPr>
          <w:p w:rsidR="005527D0" w:rsidRPr="00FA33C3" w:rsidRDefault="005527D0" w:rsidP="004520D4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La carencia de un Centro Municipal de Prevención y Reacción de Desastres en la Zona </w:t>
            </w:r>
            <w:r w:rsidR="004520D4" w:rsidRPr="00FA33C3">
              <w:rPr>
                <w:sz w:val="20"/>
                <w:szCs w:val="20"/>
              </w:rPr>
              <w:t>Sur del M</w:t>
            </w:r>
            <w:r w:rsidRPr="00FA33C3">
              <w:rPr>
                <w:sz w:val="20"/>
                <w:szCs w:val="20"/>
              </w:rPr>
              <w:t xml:space="preserve">unicipio </w:t>
            </w:r>
            <w:r w:rsidR="004520D4" w:rsidRPr="00FA33C3">
              <w:rPr>
                <w:sz w:val="20"/>
                <w:szCs w:val="20"/>
              </w:rPr>
              <w:t>que es</w:t>
            </w:r>
            <w:r w:rsidRPr="00FA33C3">
              <w:rPr>
                <w:sz w:val="20"/>
                <w:szCs w:val="20"/>
              </w:rPr>
              <w:t xml:space="preserve"> </w:t>
            </w:r>
            <w:r w:rsidR="004520D4" w:rsidRPr="00FA33C3">
              <w:rPr>
                <w:sz w:val="20"/>
                <w:szCs w:val="20"/>
              </w:rPr>
              <w:t>una</w:t>
            </w:r>
            <w:r w:rsidRPr="00FA33C3">
              <w:rPr>
                <w:sz w:val="20"/>
                <w:szCs w:val="20"/>
              </w:rPr>
              <w:t xml:space="preserve"> área geográfica en constante crecimiento, poblacional, industrial y comercial, derivado de la sobresaturación de la zona metropolitana de Guada</w:t>
            </w:r>
            <w:r w:rsidR="004520D4" w:rsidRPr="00FA33C3">
              <w:rPr>
                <w:sz w:val="20"/>
                <w:szCs w:val="20"/>
              </w:rPr>
              <w:t>lajara, siendo la Zona Sur del M</w:t>
            </w:r>
            <w:r w:rsidRPr="00FA33C3">
              <w:rPr>
                <w:sz w:val="20"/>
                <w:szCs w:val="20"/>
              </w:rPr>
              <w:t>unicipio de San Pedro Tlaquepaque</w:t>
            </w:r>
            <w:r w:rsidR="004520D4" w:rsidRPr="00FA33C3">
              <w:rPr>
                <w:sz w:val="20"/>
                <w:szCs w:val="20"/>
              </w:rPr>
              <w:t>,</w:t>
            </w:r>
            <w:r w:rsidRPr="00FA33C3">
              <w:rPr>
                <w:sz w:val="20"/>
                <w:szCs w:val="20"/>
              </w:rPr>
              <w:t xml:space="preserve"> </w:t>
            </w:r>
            <w:r w:rsidR="004520D4" w:rsidRPr="00FA33C3">
              <w:rPr>
                <w:sz w:val="20"/>
                <w:szCs w:val="20"/>
              </w:rPr>
              <w:t>área</w:t>
            </w:r>
            <w:r w:rsidRPr="00FA33C3">
              <w:rPr>
                <w:sz w:val="20"/>
                <w:szCs w:val="20"/>
              </w:rPr>
              <w:t xml:space="preserve"> de oportunidad para grandes desarrollos habitacionales en colindancia con el municipio de Tlajomulco de Zúñiga.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27D0" w:rsidRPr="00FA33C3" w:rsidRDefault="005527D0" w:rsidP="009716A4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527D0" w:rsidRPr="00FA33C3" w:rsidRDefault="005527D0" w:rsidP="009716A4">
            <w:pPr>
              <w:jc w:val="both"/>
            </w:pPr>
          </w:p>
        </w:tc>
      </w:tr>
      <w:tr w:rsidR="00FA33C3" w:rsidRPr="00FA33C3" w:rsidTr="009716A4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5527D0" w:rsidRPr="00FA33C3" w:rsidRDefault="005527D0" w:rsidP="009716A4"/>
        </w:tc>
        <w:tc>
          <w:tcPr>
            <w:tcW w:w="6228" w:type="dxa"/>
            <w:gridSpan w:val="6"/>
            <w:vMerge/>
          </w:tcPr>
          <w:p w:rsidR="005527D0" w:rsidRPr="00FA33C3" w:rsidRDefault="005527D0" w:rsidP="009716A4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527D0" w:rsidRPr="00FA33C3" w:rsidRDefault="005527D0" w:rsidP="009716A4">
            <w:r w:rsidRPr="00FA33C3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5527D0" w:rsidRPr="00FA33C3" w:rsidRDefault="005527D0" w:rsidP="009716A4">
            <w:pPr>
              <w:jc w:val="both"/>
            </w:pPr>
          </w:p>
        </w:tc>
      </w:tr>
      <w:tr w:rsidR="00FA33C3" w:rsidRPr="00FA33C3" w:rsidTr="009716A4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27D0" w:rsidRPr="00FA33C3" w:rsidRDefault="005527D0" w:rsidP="006F4450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D) Ubicación Geográfica / Cobertura  de Colonias/Cobertura institucional.</w:t>
            </w:r>
          </w:p>
        </w:tc>
        <w:tc>
          <w:tcPr>
            <w:tcW w:w="6228" w:type="dxa"/>
            <w:gridSpan w:val="6"/>
          </w:tcPr>
          <w:p w:rsidR="005527D0" w:rsidRPr="00FA33C3" w:rsidRDefault="005527D0" w:rsidP="004520D4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53 Colonias</w:t>
            </w:r>
            <w:r w:rsidR="004520D4" w:rsidRPr="00FA33C3">
              <w:rPr>
                <w:sz w:val="20"/>
                <w:szCs w:val="20"/>
              </w:rPr>
              <w:t>,</w:t>
            </w:r>
            <w:r w:rsidRPr="00FA33C3">
              <w:rPr>
                <w:sz w:val="20"/>
                <w:szCs w:val="20"/>
              </w:rPr>
              <w:t xml:space="preserve"> con una población aproximada de 200,000 mil personas</w:t>
            </w:r>
            <w:r w:rsidR="004520D4" w:rsidRPr="00FA33C3">
              <w:rPr>
                <w:sz w:val="20"/>
                <w:szCs w:val="20"/>
              </w:rPr>
              <w:t>. 1 Dependencia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27D0" w:rsidRPr="00FA33C3" w:rsidRDefault="005527D0" w:rsidP="009716A4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527D0" w:rsidRPr="00FA33C3" w:rsidRDefault="005527D0" w:rsidP="009716A4">
            <w:pPr>
              <w:jc w:val="both"/>
            </w:pPr>
          </w:p>
        </w:tc>
      </w:tr>
      <w:tr w:rsidR="00FA33C3" w:rsidRPr="00FA33C3" w:rsidTr="005807E5">
        <w:trPr>
          <w:trHeight w:val="434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27D0" w:rsidRPr="00FA33C3" w:rsidRDefault="005527D0" w:rsidP="006F4450">
            <w:r w:rsidRPr="00FA33C3">
              <w:t xml:space="preserve">E)Nombre del enlace o responsable </w:t>
            </w:r>
          </w:p>
        </w:tc>
        <w:tc>
          <w:tcPr>
            <w:tcW w:w="6228" w:type="dxa"/>
            <w:gridSpan w:val="6"/>
          </w:tcPr>
          <w:p w:rsidR="005527D0" w:rsidRPr="00FA33C3" w:rsidRDefault="005527D0" w:rsidP="00C33BDB">
            <w:pPr>
              <w:jc w:val="both"/>
            </w:pPr>
            <w:r w:rsidRPr="00FA33C3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FA33C3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FA33C3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527D0" w:rsidRPr="00FA33C3" w:rsidRDefault="005527D0" w:rsidP="009716A4">
            <w:r w:rsidRPr="00FA33C3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5527D0" w:rsidRPr="00FA33C3" w:rsidRDefault="005527D0" w:rsidP="009716A4">
            <w:pPr>
              <w:jc w:val="both"/>
            </w:pPr>
          </w:p>
        </w:tc>
      </w:tr>
      <w:tr w:rsidR="00FA33C3" w:rsidRPr="00FA33C3" w:rsidTr="009716A4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27D0" w:rsidRPr="00FA33C3" w:rsidRDefault="005527D0" w:rsidP="006F4450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F)</w:t>
            </w:r>
            <w:r w:rsidR="00B528B7" w:rsidRPr="00FA33C3">
              <w:t xml:space="preserve"> </w:t>
            </w:r>
            <w:r w:rsidRPr="00FA33C3">
              <w:rPr>
                <w:sz w:val="20"/>
                <w:szCs w:val="20"/>
              </w:rPr>
              <w:t>Objetivo específico.</w:t>
            </w:r>
          </w:p>
        </w:tc>
        <w:tc>
          <w:tcPr>
            <w:tcW w:w="6228" w:type="dxa"/>
            <w:gridSpan w:val="6"/>
          </w:tcPr>
          <w:p w:rsidR="005527D0" w:rsidRPr="00FA33C3" w:rsidRDefault="005527D0" w:rsidP="009716A4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Construir un Centro Municipal de Prevención y reacción de Desastres en la Delegación de Santa Anita, calle 5 de mayo s/n col. Santa Anita y contar con infraestructura para la gestión integral de riesgos, atención a contingencia y prevención y reacción a desastres con capacidad para treinta y tres técnicos y especialistas en gestión integral de riesgos.     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27D0" w:rsidRPr="00FA33C3" w:rsidRDefault="005527D0" w:rsidP="009716A4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527D0" w:rsidRPr="00FA33C3" w:rsidRDefault="005527D0" w:rsidP="009716A4">
            <w:pPr>
              <w:jc w:val="both"/>
            </w:pPr>
          </w:p>
        </w:tc>
      </w:tr>
      <w:tr w:rsidR="00FA33C3" w:rsidRPr="00FA33C3" w:rsidTr="009716A4">
        <w:trPr>
          <w:trHeight w:val="432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F5416D" w:rsidRPr="00FA33C3" w:rsidRDefault="00F5416D" w:rsidP="006F4450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G) Perfil de la población e institución; atendida o beneficiada.</w:t>
            </w:r>
          </w:p>
        </w:tc>
        <w:tc>
          <w:tcPr>
            <w:tcW w:w="9780" w:type="dxa"/>
            <w:gridSpan w:val="10"/>
          </w:tcPr>
          <w:p w:rsidR="00F5416D" w:rsidRPr="00FA33C3" w:rsidRDefault="00F5416D" w:rsidP="004520D4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Los habitantes de la Zona Sur, </w:t>
            </w:r>
            <w:r w:rsidR="004520D4" w:rsidRPr="00FA33C3">
              <w:rPr>
                <w:sz w:val="20"/>
                <w:szCs w:val="20"/>
              </w:rPr>
              <w:t>residentes de</w:t>
            </w:r>
            <w:r w:rsidRPr="00FA33C3">
              <w:rPr>
                <w:sz w:val="20"/>
                <w:szCs w:val="20"/>
              </w:rPr>
              <w:t xml:space="preserve"> la Delegación Santa Anita, Agencia la Calerilla, Delegación de San Sebastianito y Delegación de Santa María Tequepexpan. </w:t>
            </w:r>
          </w:p>
        </w:tc>
      </w:tr>
      <w:tr w:rsidR="00FA33C3" w:rsidRPr="00FA33C3" w:rsidTr="006F4450">
        <w:tc>
          <w:tcPr>
            <w:tcW w:w="3961" w:type="dxa"/>
            <w:gridSpan w:val="5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Tipo de propuesta</w:t>
            </w:r>
          </w:p>
        </w:tc>
        <w:tc>
          <w:tcPr>
            <w:tcW w:w="3377" w:type="dxa"/>
            <w:gridSpan w:val="3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</w:pPr>
            <w:r w:rsidRPr="00FA33C3">
              <w:t>Beneficiarios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Inicio</w:t>
            </w:r>
          </w:p>
        </w:tc>
        <w:tc>
          <w:tcPr>
            <w:tcW w:w="2863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Cierre</w:t>
            </w:r>
          </w:p>
        </w:tc>
      </w:tr>
      <w:tr w:rsidR="00FA33C3" w:rsidRPr="00FA33C3" w:rsidTr="006F4450">
        <w:tc>
          <w:tcPr>
            <w:tcW w:w="105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Hombres</w:t>
            </w:r>
          </w:p>
        </w:tc>
        <w:tc>
          <w:tcPr>
            <w:tcW w:w="1101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01 de octubre del 2018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30 de septiembre del 2019</w:t>
            </w:r>
          </w:p>
        </w:tc>
      </w:tr>
      <w:tr w:rsidR="00FA33C3" w:rsidRPr="00FA33C3" w:rsidTr="006F4450">
        <w:trPr>
          <w:trHeight w:val="462"/>
        </w:trPr>
        <w:tc>
          <w:tcPr>
            <w:tcW w:w="1057" w:type="dxa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1026" w:type="dxa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887" w:type="dxa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100,000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(C) Fondos del Gobierno  </w:t>
            </w:r>
          </w:p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Federal o Estatal</w:t>
            </w:r>
          </w:p>
        </w:tc>
      </w:tr>
      <w:tr w:rsidR="00FA33C3" w:rsidRPr="00FA33C3" w:rsidTr="006F4450">
        <w:tc>
          <w:tcPr>
            <w:tcW w:w="2970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r w:rsidRPr="00FA33C3">
              <w:t>Monto total estimado</w:t>
            </w:r>
          </w:p>
          <w:p w:rsidR="000D4894" w:rsidRPr="00FA33C3" w:rsidRDefault="000D4894" w:rsidP="006F4450">
            <w:r w:rsidRPr="00FA33C3"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</w:rPr>
            </w:pP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Categoría para Presupuesto</w:t>
            </w: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(A, B y C)</w:t>
            </w:r>
          </w:p>
        </w:tc>
        <w:tc>
          <w:tcPr>
            <w:tcW w:w="1275" w:type="dxa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Participación </w:t>
            </w:r>
          </w:p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Federal /Estatal</w:t>
            </w:r>
          </w:p>
        </w:tc>
      </w:tr>
      <w:tr w:rsidR="00FA33C3" w:rsidRPr="00FA33C3" w:rsidTr="006F4450">
        <w:trPr>
          <w:trHeight w:val="137"/>
        </w:trPr>
        <w:tc>
          <w:tcPr>
            <w:tcW w:w="2970" w:type="dxa"/>
            <w:gridSpan w:val="3"/>
            <w:shd w:val="clear" w:color="auto" w:fill="FFFFFF" w:themeFill="background1"/>
          </w:tcPr>
          <w:p w:rsidR="000D4894" w:rsidRPr="00FA33C3" w:rsidRDefault="002F6F41" w:rsidP="009C2AAC">
            <w:pPr>
              <w:jc w:val="center"/>
            </w:pPr>
            <w:r w:rsidRPr="00FA33C3">
              <w:t>$14’000,000.00</w:t>
            </w:r>
          </w:p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0D4894" w:rsidRPr="00FA33C3" w:rsidRDefault="000D4894" w:rsidP="006F4450">
            <w:pPr>
              <w:jc w:val="center"/>
            </w:pPr>
            <w:r w:rsidRPr="00FA33C3">
              <w:t>X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</w:tr>
    </w:tbl>
    <w:p w:rsidR="00156F8E" w:rsidRPr="00FA33C3" w:rsidRDefault="00156F8E" w:rsidP="009C2C0A">
      <w:pPr>
        <w:rPr>
          <w:b/>
        </w:rPr>
      </w:pPr>
    </w:p>
    <w:p w:rsidR="00156F8E" w:rsidRPr="00FA33C3" w:rsidRDefault="00156F8E" w:rsidP="009C2C0A">
      <w:pPr>
        <w:rPr>
          <w:b/>
        </w:rPr>
      </w:pPr>
    </w:p>
    <w:p w:rsidR="009C2C0A" w:rsidRPr="00FA33C3" w:rsidRDefault="009C2C0A" w:rsidP="009C2C0A">
      <w:pPr>
        <w:rPr>
          <w:b/>
          <w:sz w:val="40"/>
        </w:rPr>
      </w:pPr>
      <w:r w:rsidRPr="00FA33C3">
        <w:rPr>
          <w:b/>
          <w:sz w:val="40"/>
        </w:rPr>
        <w:t>ANEXO 2: OPERACIÓN DE LA PROPUESTA</w:t>
      </w:r>
      <w:r w:rsidR="00FC3776" w:rsidRPr="00FA33C3">
        <w:rPr>
          <w:b/>
          <w:sz w:val="40"/>
        </w:rPr>
        <w:t>.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024"/>
        <w:gridCol w:w="1339"/>
        <w:gridCol w:w="944"/>
        <w:gridCol w:w="472"/>
        <w:gridCol w:w="1643"/>
        <w:gridCol w:w="1115"/>
        <w:gridCol w:w="1185"/>
        <w:gridCol w:w="1117"/>
        <w:gridCol w:w="1332"/>
      </w:tblGrid>
      <w:tr w:rsidR="00FA33C3" w:rsidRPr="00FA33C3" w:rsidTr="0088087E">
        <w:trPr>
          <w:trHeight w:val="547"/>
        </w:trPr>
        <w:tc>
          <w:tcPr>
            <w:tcW w:w="1242" w:type="pct"/>
            <w:shd w:val="clear" w:color="auto" w:fill="D9D9D9" w:themeFill="background1" w:themeFillShade="D9"/>
          </w:tcPr>
          <w:p w:rsidR="009C2C0A" w:rsidRPr="00FA33C3" w:rsidRDefault="009C2C0A" w:rsidP="00563483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58" w:type="pct"/>
            <w:gridSpan w:val="8"/>
            <w:shd w:val="clear" w:color="auto" w:fill="auto"/>
          </w:tcPr>
          <w:p w:rsidR="009C2C0A" w:rsidRPr="00FA33C3" w:rsidRDefault="00495CD5" w:rsidP="00495CD5">
            <w:pPr>
              <w:jc w:val="both"/>
            </w:pPr>
            <w:r w:rsidRPr="00FA33C3">
              <w:rPr>
                <w:rFonts w:cstheme="minorHAnsi"/>
              </w:rPr>
              <w:t xml:space="preserve">Un </w:t>
            </w:r>
            <w:r w:rsidR="00E30CD4" w:rsidRPr="00FA33C3">
              <w:rPr>
                <w:rFonts w:cstheme="minorHAnsi"/>
              </w:rPr>
              <w:t>Centro Municipal de Prevención y reacción de Desastres en la Delegación de Santa Anita, calle</w:t>
            </w:r>
            <w:r w:rsidRPr="00FA33C3">
              <w:rPr>
                <w:rFonts w:cstheme="minorHAnsi"/>
              </w:rPr>
              <w:t xml:space="preserve"> 5 de mayo s/n col. Santa Anita.</w:t>
            </w:r>
          </w:p>
        </w:tc>
      </w:tr>
      <w:tr w:rsidR="00FA33C3" w:rsidRPr="00FA33C3" w:rsidTr="0088087E">
        <w:trPr>
          <w:trHeight w:val="547"/>
        </w:trPr>
        <w:tc>
          <w:tcPr>
            <w:tcW w:w="1242" w:type="pct"/>
            <w:shd w:val="clear" w:color="auto" w:fill="D9D9D9" w:themeFill="background1" w:themeFillShade="D9"/>
          </w:tcPr>
          <w:p w:rsidR="009C2C0A" w:rsidRPr="00FA33C3" w:rsidRDefault="009C2C0A" w:rsidP="00563483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758" w:type="pct"/>
            <w:gridSpan w:val="8"/>
            <w:shd w:val="clear" w:color="auto" w:fill="auto"/>
          </w:tcPr>
          <w:p w:rsidR="0093749A" w:rsidRPr="00FA33C3" w:rsidRDefault="0093749A" w:rsidP="00495CD5">
            <w:pPr>
              <w:rPr>
                <w:sz w:val="20"/>
                <w:szCs w:val="20"/>
              </w:rPr>
            </w:pPr>
            <w:r w:rsidRPr="00FA33C3">
              <w:rPr>
                <w:rFonts w:cstheme="minorHAnsi"/>
                <w:sz w:val="20"/>
                <w:szCs w:val="20"/>
              </w:rPr>
              <w:t>Seguimiento y Actualización del Proyecto Ejecutivo.</w:t>
            </w:r>
            <w:r w:rsidR="00495CD5" w:rsidRPr="00FA33C3">
              <w:rPr>
                <w:rFonts w:cstheme="minorHAnsi"/>
                <w:sz w:val="20"/>
                <w:szCs w:val="20"/>
              </w:rPr>
              <w:t xml:space="preserve"> </w:t>
            </w:r>
            <w:r w:rsidRPr="00FA33C3">
              <w:rPr>
                <w:rFonts w:cstheme="minorHAnsi"/>
                <w:sz w:val="20"/>
                <w:szCs w:val="20"/>
              </w:rPr>
              <w:t>G</w:t>
            </w:r>
            <w:r w:rsidR="00495CD5" w:rsidRPr="00FA33C3">
              <w:rPr>
                <w:rFonts w:cstheme="minorHAnsi"/>
                <w:sz w:val="20"/>
                <w:szCs w:val="20"/>
              </w:rPr>
              <w:t xml:space="preserve">estión de Recursos Federales. </w:t>
            </w:r>
            <w:r w:rsidRPr="00FA33C3">
              <w:rPr>
                <w:sz w:val="20"/>
                <w:szCs w:val="20"/>
              </w:rPr>
              <w:t>Autorización del Proyecto.</w:t>
            </w:r>
            <w:r w:rsidR="00495CD5" w:rsidRPr="00FA33C3">
              <w:rPr>
                <w:sz w:val="20"/>
                <w:szCs w:val="20"/>
              </w:rPr>
              <w:t xml:space="preserve"> </w:t>
            </w:r>
            <w:r w:rsidRPr="00FA33C3">
              <w:rPr>
                <w:sz w:val="20"/>
                <w:szCs w:val="20"/>
              </w:rPr>
              <w:t>Construcción del Centro Municipal de Prevención y reacci</w:t>
            </w:r>
            <w:r w:rsidR="0031540A" w:rsidRPr="00FA33C3">
              <w:rPr>
                <w:sz w:val="20"/>
                <w:szCs w:val="20"/>
              </w:rPr>
              <w:t>ón de desastres de la Zona Sur</w:t>
            </w:r>
            <w:r w:rsidRPr="00FA33C3">
              <w:rPr>
                <w:sz w:val="20"/>
                <w:szCs w:val="20"/>
              </w:rPr>
              <w:t xml:space="preserve">.               </w:t>
            </w:r>
          </w:p>
        </w:tc>
      </w:tr>
      <w:tr w:rsidR="00FA33C3" w:rsidRPr="00FA33C3" w:rsidTr="0088087E">
        <w:trPr>
          <w:trHeight w:val="547"/>
        </w:trPr>
        <w:tc>
          <w:tcPr>
            <w:tcW w:w="1242" w:type="pct"/>
            <w:shd w:val="clear" w:color="auto" w:fill="D9D9D9" w:themeFill="background1" w:themeFillShade="D9"/>
          </w:tcPr>
          <w:p w:rsidR="009C2C0A" w:rsidRPr="00FA33C3" w:rsidRDefault="009C2C0A" w:rsidP="00563483">
            <w:r w:rsidRPr="00FA33C3">
              <w:t xml:space="preserve">Objetivos del programa estratégico </w:t>
            </w:r>
          </w:p>
        </w:tc>
        <w:tc>
          <w:tcPr>
            <w:tcW w:w="3758" w:type="pct"/>
            <w:gridSpan w:val="8"/>
            <w:shd w:val="clear" w:color="auto" w:fill="FABF8F" w:themeFill="accent6" w:themeFillTint="99"/>
          </w:tcPr>
          <w:p w:rsidR="009C2C0A" w:rsidRPr="00FA33C3" w:rsidRDefault="009C2C0A" w:rsidP="00563483"/>
        </w:tc>
      </w:tr>
      <w:tr w:rsidR="00FA33C3" w:rsidRPr="00FA33C3" w:rsidTr="0088087E">
        <w:trPr>
          <w:trHeight w:val="547"/>
        </w:trPr>
        <w:tc>
          <w:tcPr>
            <w:tcW w:w="1242" w:type="pct"/>
            <w:shd w:val="clear" w:color="auto" w:fill="D9D9D9" w:themeFill="background1" w:themeFillShade="D9"/>
          </w:tcPr>
          <w:p w:rsidR="009C2C0A" w:rsidRPr="00FA33C3" w:rsidRDefault="009C2C0A" w:rsidP="00563483">
            <w:r w:rsidRPr="00FA33C3">
              <w:t xml:space="preserve">Indicador del programa estratégico al que contribuye  </w:t>
            </w:r>
          </w:p>
        </w:tc>
        <w:tc>
          <w:tcPr>
            <w:tcW w:w="3758" w:type="pct"/>
            <w:gridSpan w:val="8"/>
            <w:shd w:val="clear" w:color="auto" w:fill="FABF8F" w:themeFill="accent6" w:themeFillTint="99"/>
          </w:tcPr>
          <w:p w:rsidR="009C2C0A" w:rsidRPr="00FA33C3" w:rsidRDefault="009C2C0A" w:rsidP="00563483"/>
        </w:tc>
      </w:tr>
      <w:tr w:rsidR="00FA33C3" w:rsidRPr="00FA33C3" w:rsidTr="004F2B78">
        <w:tc>
          <w:tcPr>
            <w:tcW w:w="1242" w:type="pct"/>
            <w:vMerge w:val="restart"/>
            <w:shd w:val="clear" w:color="auto" w:fill="D9D9D9" w:themeFill="background1" w:themeFillShade="D9"/>
          </w:tcPr>
          <w:p w:rsidR="009C2C0A" w:rsidRPr="00FA33C3" w:rsidRDefault="009C2C0A" w:rsidP="00563483">
            <w:r w:rsidRPr="00FA33C3">
              <w:t xml:space="preserve">Beneficios 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  <w:r w:rsidRPr="00FA33C3">
              <w:t>Corto Plazo</w:t>
            </w:r>
          </w:p>
        </w:tc>
        <w:tc>
          <w:tcPr>
            <w:tcW w:w="1327" w:type="pct"/>
            <w:gridSpan w:val="3"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  <w:r w:rsidRPr="00FA33C3">
              <w:t>Mediano Plazo</w:t>
            </w:r>
          </w:p>
        </w:tc>
        <w:tc>
          <w:tcPr>
            <w:tcW w:w="1493" w:type="pct"/>
            <w:gridSpan w:val="3"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  <w:r w:rsidRPr="00FA33C3">
              <w:t>Largo Plazo</w:t>
            </w:r>
          </w:p>
        </w:tc>
      </w:tr>
      <w:tr w:rsidR="00FA33C3" w:rsidRPr="00FA33C3" w:rsidTr="004F2B78">
        <w:tc>
          <w:tcPr>
            <w:tcW w:w="1242" w:type="pct"/>
            <w:vMerge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9C2C0A" w:rsidRPr="00FA33C3" w:rsidRDefault="009C2C0A" w:rsidP="00563483">
            <w:pPr>
              <w:jc w:val="center"/>
            </w:pPr>
          </w:p>
        </w:tc>
        <w:tc>
          <w:tcPr>
            <w:tcW w:w="1327" w:type="pct"/>
            <w:gridSpan w:val="3"/>
            <w:shd w:val="clear" w:color="auto" w:fill="auto"/>
          </w:tcPr>
          <w:p w:rsidR="009C2C0A" w:rsidRPr="00FA33C3" w:rsidRDefault="009C2C0A" w:rsidP="00563483">
            <w:pPr>
              <w:jc w:val="center"/>
            </w:pPr>
            <w:r w:rsidRPr="00FA33C3">
              <w:t>X</w:t>
            </w:r>
          </w:p>
        </w:tc>
        <w:tc>
          <w:tcPr>
            <w:tcW w:w="1493" w:type="pct"/>
            <w:gridSpan w:val="3"/>
            <w:shd w:val="clear" w:color="auto" w:fill="auto"/>
          </w:tcPr>
          <w:p w:rsidR="009C2C0A" w:rsidRPr="00FA33C3" w:rsidRDefault="0085493A" w:rsidP="00563483">
            <w:pPr>
              <w:jc w:val="center"/>
            </w:pPr>
            <w:r w:rsidRPr="00FA33C3">
              <w:t>X</w:t>
            </w:r>
          </w:p>
        </w:tc>
      </w:tr>
      <w:tr w:rsidR="00FA33C3" w:rsidRPr="00FA33C3" w:rsidTr="004F2B78">
        <w:trPr>
          <w:trHeight w:val="579"/>
        </w:trPr>
        <w:tc>
          <w:tcPr>
            <w:tcW w:w="1242" w:type="pct"/>
            <w:vMerge w:val="restart"/>
            <w:shd w:val="clear" w:color="auto" w:fill="D9D9D9" w:themeFill="background1" w:themeFillShade="D9"/>
          </w:tcPr>
          <w:p w:rsidR="009C2C0A" w:rsidRPr="00FA33C3" w:rsidRDefault="009C2C0A" w:rsidP="00563483">
            <w:r w:rsidRPr="00FA33C3">
              <w:t xml:space="preserve">Nombre del Indicador </w:t>
            </w:r>
          </w:p>
        </w:tc>
        <w:tc>
          <w:tcPr>
            <w:tcW w:w="550" w:type="pct"/>
            <w:shd w:val="clear" w:color="auto" w:fill="A6A6A6" w:themeFill="background1" w:themeFillShade="A6"/>
          </w:tcPr>
          <w:p w:rsidR="009C2C0A" w:rsidRPr="00FA33C3" w:rsidRDefault="009C2C0A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 xml:space="preserve">Dimensión a medir </w:t>
            </w:r>
          </w:p>
        </w:tc>
        <w:tc>
          <w:tcPr>
            <w:tcW w:w="582" w:type="pct"/>
            <w:gridSpan w:val="2"/>
            <w:vMerge w:val="restart"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  <w:r w:rsidRPr="00FA33C3">
              <w:t xml:space="preserve">Definición del indicador 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  <w:r w:rsidRPr="00FA33C3">
              <w:t>Método del calculo</w:t>
            </w:r>
          </w:p>
        </w:tc>
        <w:tc>
          <w:tcPr>
            <w:tcW w:w="458" w:type="pct"/>
            <w:vMerge w:val="restart"/>
            <w:shd w:val="clear" w:color="auto" w:fill="A6A6A6" w:themeFill="background1" w:themeFillShade="A6"/>
          </w:tcPr>
          <w:p w:rsidR="009C2C0A" w:rsidRPr="00FA33C3" w:rsidRDefault="009C2C0A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Unidad de medida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  <w:r w:rsidRPr="00FA33C3">
              <w:t xml:space="preserve">Frecuencia de medida 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  <w:r w:rsidRPr="00FA33C3">
              <w:t>Línea base</w:t>
            </w:r>
          </w:p>
        </w:tc>
        <w:tc>
          <w:tcPr>
            <w:tcW w:w="547" w:type="pct"/>
            <w:vMerge w:val="restart"/>
            <w:shd w:val="clear" w:color="auto" w:fill="A6A6A6" w:themeFill="background1" w:themeFillShade="A6"/>
          </w:tcPr>
          <w:p w:rsidR="009C2C0A" w:rsidRPr="00FA33C3" w:rsidRDefault="009C2C0A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Meta programada</w:t>
            </w:r>
          </w:p>
        </w:tc>
      </w:tr>
      <w:tr w:rsidR="00FA33C3" w:rsidRPr="00FA33C3" w:rsidTr="004F2B78">
        <w:trPr>
          <w:trHeight w:val="405"/>
        </w:trPr>
        <w:tc>
          <w:tcPr>
            <w:tcW w:w="1242" w:type="pct"/>
            <w:vMerge/>
            <w:shd w:val="clear" w:color="auto" w:fill="D9D9D9" w:themeFill="background1" w:themeFillShade="D9"/>
          </w:tcPr>
          <w:p w:rsidR="009C2C0A" w:rsidRPr="00FA33C3" w:rsidRDefault="009C2C0A" w:rsidP="00563483"/>
        </w:tc>
        <w:tc>
          <w:tcPr>
            <w:tcW w:w="550" w:type="pct"/>
            <w:shd w:val="clear" w:color="auto" w:fill="A6A6A6" w:themeFill="background1" w:themeFillShade="A6"/>
          </w:tcPr>
          <w:p w:rsidR="009C2C0A" w:rsidRPr="00FA33C3" w:rsidRDefault="009C2C0A" w:rsidP="0088087E">
            <w:pPr>
              <w:pStyle w:val="Prrafodelista"/>
              <w:numPr>
                <w:ilvl w:val="0"/>
                <w:numId w:val="3"/>
              </w:numPr>
              <w:ind w:left="378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Eficacia</w:t>
            </w:r>
          </w:p>
          <w:p w:rsidR="009C2C0A" w:rsidRPr="00FA33C3" w:rsidRDefault="009C2C0A" w:rsidP="0088087E">
            <w:pPr>
              <w:pStyle w:val="Prrafodelista"/>
              <w:numPr>
                <w:ilvl w:val="0"/>
                <w:numId w:val="3"/>
              </w:numPr>
              <w:ind w:left="378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Eficiencia</w:t>
            </w:r>
          </w:p>
          <w:p w:rsidR="009C2C0A" w:rsidRPr="00FA33C3" w:rsidRDefault="009C2C0A" w:rsidP="0088087E">
            <w:pPr>
              <w:pStyle w:val="Prrafodelista"/>
              <w:numPr>
                <w:ilvl w:val="0"/>
                <w:numId w:val="3"/>
              </w:numPr>
              <w:ind w:left="378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 xml:space="preserve">Económica </w:t>
            </w:r>
          </w:p>
          <w:p w:rsidR="009C2C0A" w:rsidRPr="00FA33C3" w:rsidRDefault="009C2C0A" w:rsidP="0088087E">
            <w:pPr>
              <w:pStyle w:val="Prrafodelista"/>
              <w:numPr>
                <w:ilvl w:val="0"/>
                <w:numId w:val="3"/>
              </w:numPr>
              <w:ind w:left="378"/>
              <w:rPr>
                <w:b/>
              </w:rPr>
            </w:pPr>
            <w:r w:rsidRPr="00FA33C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2" w:type="pct"/>
            <w:gridSpan w:val="2"/>
            <w:vMerge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</w:p>
        </w:tc>
        <w:tc>
          <w:tcPr>
            <w:tcW w:w="458" w:type="pct"/>
            <w:vMerge/>
            <w:shd w:val="clear" w:color="auto" w:fill="A6A6A6" w:themeFill="background1" w:themeFillShade="A6"/>
          </w:tcPr>
          <w:p w:rsidR="009C2C0A" w:rsidRPr="00FA33C3" w:rsidRDefault="009C2C0A" w:rsidP="00563483">
            <w:pPr>
              <w:jc w:val="center"/>
            </w:pPr>
          </w:p>
        </w:tc>
        <w:tc>
          <w:tcPr>
            <w:tcW w:w="487" w:type="pct"/>
            <w:vMerge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</w:p>
        </w:tc>
        <w:tc>
          <w:tcPr>
            <w:tcW w:w="459" w:type="pct"/>
            <w:vMerge/>
            <w:shd w:val="clear" w:color="auto" w:fill="D9D9D9" w:themeFill="background1" w:themeFillShade="D9"/>
          </w:tcPr>
          <w:p w:rsidR="009C2C0A" w:rsidRPr="00FA33C3" w:rsidRDefault="009C2C0A" w:rsidP="00563483">
            <w:pPr>
              <w:jc w:val="center"/>
            </w:pPr>
          </w:p>
        </w:tc>
        <w:tc>
          <w:tcPr>
            <w:tcW w:w="547" w:type="pct"/>
            <w:vMerge/>
            <w:shd w:val="clear" w:color="auto" w:fill="A6A6A6" w:themeFill="background1" w:themeFillShade="A6"/>
          </w:tcPr>
          <w:p w:rsidR="009C2C0A" w:rsidRPr="00FA33C3" w:rsidRDefault="009C2C0A" w:rsidP="00563483">
            <w:pPr>
              <w:jc w:val="center"/>
            </w:pPr>
          </w:p>
        </w:tc>
      </w:tr>
      <w:tr w:rsidR="00FA33C3" w:rsidRPr="00FA33C3" w:rsidTr="004F2B7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FA33C3" w:rsidRDefault="004F2B78" w:rsidP="004F2B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>Porcentaje de avance de la construcción del</w:t>
            </w:r>
            <w:r w:rsidRPr="00FA33C3">
              <w:rPr>
                <w:rFonts w:cstheme="minorHAnsi"/>
                <w:sz w:val="20"/>
                <w:szCs w:val="20"/>
              </w:rPr>
              <w:t xml:space="preserve"> </w:t>
            </w:r>
            <w:r w:rsidRPr="00FA33C3">
              <w:rPr>
                <w:rFonts w:eastAsia="Times New Roman" w:cstheme="minorHAnsi"/>
                <w:sz w:val="20"/>
                <w:szCs w:val="20"/>
              </w:rPr>
              <w:t xml:space="preserve">Centro Municipal de Prevención y Reacción de Desastres </w:t>
            </w:r>
            <w:r w:rsidRPr="00FA33C3">
              <w:rPr>
                <w:sz w:val="20"/>
                <w:szCs w:val="20"/>
              </w:rPr>
              <w:t>Zona Sur.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FA33C3" w:rsidRDefault="004F2B78" w:rsidP="004F2B78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FA33C3" w:rsidRDefault="004F2B78" w:rsidP="004F2B78">
            <w:pPr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 xml:space="preserve">Construcción del Centro Municipal de Prevención y Reacción de Desastres </w:t>
            </w:r>
            <w:r w:rsidRPr="00FA33C3">
              <w:rPr>
                <w:rFonts w:cstheme="minorHAnsi"/>
                <w:sz w:val="20"/>
                <w:szCs w:val="20"/>
              </w:rPr>
              <w:t xml:space="preserve">en la </w:t>
            </w:r>
            <w:r w:rsidRPr="00FA33C3">
              <w:rPr>
                <w:rFonts w:eastAsia="Times New Roman" w:cstheme="minorHAnsi"/>
                <w:sz w:val="20"/>
                <w:szCs w:val="20"/>
              </w:rPr>
              <w:t>Zona Sur, Santa Anita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FA33C3" w:rsidRDefault="004F2B78" w:rsidP="004F2B78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(Número de etapas realizadas en el año 2019/ Número total de Etapas a realizar para la construcción del Centro Municipal de Prevención y Reacción de Desastres)*100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FA33C3" w:rsidRDefault="004F2B78" w:rsidP="004F2B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FA33C3" w:rsidRDefault="004F2B78" w:rsidP="004F2B78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Trimestral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FA33C3" w:rsidRDefault="004F2B78" w:rsidP="004F2B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FA33C3" w:rsidRDefault="004F2B78" w:rsidP="004F2B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1 Centro Municipal de Prevención y Reacción de Desastres construido.</w:t>
            </w:r>
          </w:p>
        </w:tc>
      </w:tr>
      <w:tr w:rsidR="00FA33C3" w:rsidRPr="00FA33C3" w:rsidTr="0088087E">
        <w:tc>
          <w:tcPr>
            <w:tcW w:w="2374" w:type="pct"/>
            <w:gridSpan w:val="4"/>
            <w:shd w:val="clear" w:color="auto" w:fill="D9D9D9" w:themeFill="background1" w:themeFillShade="D9"/>
          </w:tcPr>
          <w:p w:rsidR="009E0F79" w:rsidRPr="00FA33C3" w:rsidRDefault="009E0F79" w:rsidP="00CD0629">
            <w:r w:rsidRPr="00FA33C3">
              <w:t>Clave presupuestal determinada para seguimiento del gasto</w:t>
            </w:r>
          </w:p>
        </w:tc>
        <w:tc>
          <w:tcPr>
            <w:tcW w:w="2626" w:type="pct"/>
            <w:gridSpan w:val="5"/>
            <w:shd w:val="clear" w:color="auto" w:fill="FABF8F" w:themeFill="accent6" w:themeFillTint="99"/>
          </w:tcPr>
          <w:p w:rsidR="009E0F79" w:rsidRPr="00FA33C3" w:rsidRDefault="009E0F79" w:rsidP="009E0F79"/>
        </w:tc>
      </w:tr>
    </w:tbl>
    <w:p w:rsidR="009C2C0A" w:rsidRPr="00FA33C3" w:rsidRDefault="009C2C0A" w:rsidP="009C2C0A"/>
    <w:p w:rsidR="009C2C0A" w:rsidRPr="00FA33C3" w:rsidRDefault="009C2C0A" w:rsidP="009C2C0A"/>
    <w:p w:rsidR="009C2C0A" w:rsidRPr="00FA33C3" w:rsidRDefault="009C2C0A" w:rsidP="009C2C0A">
      <w:pPr>
        <w:rPr>
          <w:b/>
          <w:sz w:val="40"/>
        </w:rPr>
      </w:pPr>
      <w:r w:rsidRPr="00FA33C3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432"/>
        <w:gridCol w:w="631"/>
        <w:gridCol w:w="641"/>
        <w:gridCol w:w="648"/>
        <w:gridCol w:w="668"/>
        <w:gridCol w:w="668"/>
        <w:gridCol w:w="670"/>
        <w:gridCol w:w="670"/>
        <w:gridCol w:w="668"/>
        <w:gridCol w:w="680"/>
        <w:gridCol w:w="648"/>
        <w:gridCol w:w="639"/>
        <w:gridCol w:w="614"/>
      </w:tblGrid>
      <w:tr w:rsidR="00FA33C3" w:rsidRPr="00FA33C3" w:rsidTr="006F445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lastRenderedPageBreak/>
              <w:t>Cronograma Anual  de Actividades</w:t>
            </w:r>
          </w:p>
        </w:tc>
      </w:tr>
      <w:tr w:rsidR="00FA33C3" w:rsidRPr="00FA33C3" w:rsidTr="006F4450">
        <w:trPr>
          <w:trHeight w:val="296"/>
        </w:trPr>
        <w:tc>
          <w:tcPr>
            <w:tcW w:w="1805" w:type="pct"/>
            <w:vMerge w:val="restart"/>
            <w:shd w:val="clear" w:color="auto" w:fill="D9D9D9" w:themeFill="background1" w:themeFillShade="D9"/>
          </w:tcPr>
          <w:p w:rsidR="005859C3" w:rsidRPr="00FA33C3" w:rsidRDefault="005859C3" w:rsidP="006F4450">
            <w:pPr>
              <w:rPr>
                <w:b/>
              </w:rPr>
            </w:pPr>
            <w:r w:rsidRPr="00FA33C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5" w:type="pct"/>
            <w:gridSpan w:val="12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2018 - 2019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vMerge/>
            <w:shd w:val="clear" w:color="auto" w:fill="D9D9D9" w:themeFill="background1" w:themeFillShade="D9"/>
          </w:tcPr>
          <w:p w:rsidR="005859C3" w:rsidRPr="00FA33C3" w:rsidRDefault="005859C3" w:rsidP="006F4450"/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OCT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NOV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DIC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ENE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FEB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MAR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MAY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JUN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JUL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5859C3" w:rsidRPr="00FA33C3" w:rsidRDefault="005859C3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SEP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5859C3" w:rsidRPr="00FA33C3" w:rsidRDefault="005859C3" w:rsidP="006F4450">
            <w:r w:rsidRPr="00FA33C3">
              <w:t>Elaboración, presentación y aprobación del Proyecto Ejecutivo.</w:t>
            </w:r>
          </w:p>
        </w:tc>
        <w:tc>
          <w:tcPr>
            <w:tcW w:w="257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5859C3" w:rsidRPr="00FA33C3" w:rsidRDefault="005859C3" w:rsidP="006F4450"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5859C3" w:rsidRPr="00FA33C3" w:rsidRDefault="005859C3" w:rsidP="006F4450"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5859C3" w:rsidRPr="00FA33C3" w:rsidRDefault="005859C3" w:rsidP="006F4450">
            <w:r w:rsidRPr="00FA33C3">
              <w:rPr>
                <w:rFonts w:cstheme="minorHAnsi"/>
              </w:rPr>
              <w:t>Seguimiento y Actualización del Proyecto Ejecutivo.</w:t>
            </w:r>
          </w:p>
        </w:tc>
        <w:tc>
          <w:tcPr>
            <w:tcW w:w="257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5859C3" w:rsidRPr="00FA33C3" w:rsidRDefault="00FF3394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5859C3" w:rsidRPr="00FA33C3" w:rsidRDefault="005859C3" w:rsidP="006F4450">
            <w:r w:rsidRPr="00FA33C3">
              <w:t>Autorización del Proyecto.</w:t>
            </w:r>
          </w:p>
        </w:tc>
        <w:tc>
          <w:tcPr>
            <w:tcW w:w="257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859C3" w:rsidRPr="00FA33C3" w:rsidRDefault="00FF3394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5859C3" w:rsidRPr="00FA33C3" w:rsidRDefault="005859C3" w:rsidP="006F4450">
            <w:r w:rsidRPr="00FA33C3">
              <w:rPr>
                <w:rFonts w:cstheme="minorHAnsi"/>
              </w:rPr>
              <w:t xml:space="preserve">Gestión de Recursos Federales.   </w:t>
            </w:r>
          </w:p>
        </w:tc>
        <w:tc>
          <w:tcPr>
            <w:tcW w:w="257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859C3" w:rsidRPr="00FA33C3" w:rsidRDefault="00FF3394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</w:tr>
      <w:tr w:rsidR="005859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5859C3" w:rsidRPr="00FA33C3" w:rsidRDefault="005859C3" w:rsidP="005859C3">
            <w:pPr>
              <w:jc w:val="both"/>
            </w:pPr>
            <w:r w:rsidRPr="00FA33C3">
              <w:t>Construcción del Centro Municipal de Prevención y reacción de desastres de la Zona Sur.</w:t>
            </w:r>
          </w:p>
        </w:tc>
        <w:tc>
          <w:tcPr>
            <w:tcW w:w="257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5859C3" w:rsidRPr="00FA33C3" w:rsidRDefault="005859C3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</w:tbl>
    <w:p w:rsidR="009C2C0A" w:rsidRPr="00FA33C3" w:rsidRDefault="009C2C0A" w:rsidP="006560DD">
      <w:pPr>
        <w:rPr>
          <w:i/>
          <w:sz w:val="16"/>
        </w:rPr>
      </w:pPr>
      <w:bookmarkStart w:id="0" w:name="_GoBack"/>
      <w:bookmarkEnd w:id="0"/>
    </w:p>
    <w:sectPr w:rsidR="009C2C0A" w:rsidRPr="00FA33C3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C3" w:rsidRDefault="004D15C3" w:rsidP="00985B24">
      <w:pPr>
        <w:spacing w:after="0" w:line="240" w:lineRule="auto"/>
      </w:pPr>
      <w:r>
        <w:separator/>
      </w:r>
    </w:p>
  </w:endnote>
  <w:end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C3" w:rsidRDefault="004D15C3" w:rsidP="00985B24">
      <w:pPr>
        <w:spacing w:after="0" w:line="240" w:lineRule="auto"/>
      </w:pPr>
      <w:r>
        <w:separator/>
      </w:r>
    </w:p>
  </w:footnote>
  <w:foot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C3" w:rsidRDefault="004D15C3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D15C3" w:rsidRPr="00A53525" w:rsidTr="00563483">
      <w:trPr>
        <w:trHeight w:val="841"/>
      </w:trPr>
      <w:tc>
        <w:tcPr>
          <w:tcW w:w="1651" w:type="dxa"/>
        </w:tcPr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D15C3" w:rsidRPr="005D6B0E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D15C3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D15C3" w:rsidRDefault="004D15C3">
    <w:pPr>
      <w:pStyle w:val="Encabezado"/>
    </w:pPr>
  </w:p>
  <w:p w:rsidR="004D15C3" w:rsidRDefault="004D1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C7"/>
    <w:multiLevelType w:val="hybridMultilevel"/>
    <w:tmpl w:val="8194762E"/>
    <w:lvl w:ilvl="0" w:tplc="F418CCB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FD0"/>
    <w:multiLevelType w:val="hybridMultilevel"/>
    <w:tmpl w:val="ABD0DE24"/>
    <w:lvl w:ilvl="0" w:tplc="1D8042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834"/>
    <w:multiLevelType w:val="hybridMultilevel"/>
    <w:tmpl w:val="B57A9B2A"/>
    <w:lvl w:ilvl="0" w:tplc="042C8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91B"/>
    <w:multiLevelType w:val="hybridMultilevel"/>
    <w:tmpl w:val="E2E29CEA"/>
    <w:lvl w:ilvl="0" w:tplc="90F442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96D6F92"/>
    <w:multiLevelType w:val="hybridMultilevel"/>
    <w:tmpl w:val="60F877FE"/>
    <w:lvl w:ilvl="0" w:tplc="D8A8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44C9E"/>
    <w:multiLevelType w:val="hybridMultilevel"/>
    <w:tmpl w:val="B86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86F"/>
    <w:multiLevelType w:val="hybridMultilevel"/>
    <w:tmpl w:val="21D8B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16E8"/>
    <w:rsid w:val="00001C7E"/>
    <w:rsid w:val="00013E1E"/>
    <w:rsid w:val="00031BE1"/>
    <w:rsid w:val="00055B87"/>
    <w:rsid w:val="00055E9C"/>
    <w:rsid w:val="00061287"/>
    <w:rsid w:val="00064A6E"/>
    <w:rsid w:val="00071F00"/>
    <w:rsid w:val="0007648E"/>
    <w:rsid w:val="00082683"/>
    <w:rsid w:val="000843BC"/>
    <w:rsid w:val="00086A59"/>
    <w:rsid w:val="00095342"/>
    <w:rsid w:val="0009611A"/>
    <w:rsid w:val="000965A1"/>
    <w:rsid w:val="0009677E"/>
    <w:rsid w:val="000A3524"/>
    <w:rsid w:val="000A35BA"/>
    <w:rsid w:val="000A6FEC"/>
    <w:rsid w:val="000D4894"/>
    <w:rsid w:val="000E0469"/>
    <w:rsid w:val="000E33BA"/>
    <w:rsid w:val="000F1640"/>
    <w:rsid w:val="000F3451"/>
    <w:rsid w:val="000F472B"/>
    <w:rsid w:val="000F4A92"/>
    <w:rsid w:val="001044AE"/>
    <w:rsid w:val="0010577E"/>
    <w:rsid w:val="00110385"/>
    <w:rsid w:val="001212CA"/>
    <w:rsid w:val="001221C5"/>
    <w:rsid w:val="001324C2"/>
    <w:rsid w:val="00141A7C"/>
    <w:rsid w:val="00144C96"/>
    <w:rsid w:val="0014733E"/>
    <w:rsid w:val="001473C9"/>
    <w:rsid w:val="00156F8E"/>
    <w:rsid w:val="00163A9A"/>
    <w:rsid w:val="001656F5"/>
    <w:rsid w:val="001667D2"/>
    <w:rsid w:val="001713AC"/>
    <w:rsid w:val="0017415C"/>
    <w:rsid w:val="00177659"/>
    <w:rsid w:val="00180F01"/>
    <w:rsid w:val="001917DD"/>
    <w:rsid w:val="001A597F"/>
    <w:rsid w:val="001A61DE"/>
    <w:rsid w:val="001B4334"/>
    <w:rsid w:val="001C1ACA"/>
    <w:rsid w:val="001C73F3"/>
    <w:rsid w:val="001D24DA"/>
    <w:rsid w:val="001D353B"/>
    <w:rsid w:val="001D4B6C"/>
    <w:rsid w:val="001D51F9"/>
    <w:rsid w:val="001E04DA"/>
    <w:rsid w:val="001E3A3D"/>
    <w:rsid w:val="001E5B74"/>
    <w:rsid w:val="001E6D68"/>
    <w:rsid w:val="001E7668"/>
    <w:rsid w:val="001F5181"/>
    <w:rsid w:val="001F788A"/>
    <w:rsid w:val="0020245D"/>
    <w:rsid w:val="00203814"/>
    <w:rsid w:val="00210095"/>
    <w:rsid w:val="00213149"/>
    <w:rsid w:val="00215CDB"/>
    <w:rsid w:val="00216666"/>
    <w:rsid w:val="00216F64"/>
    <w:rsid w:val="0021720E"/>
    <w:rsid w:val="00223C20"/>
    <w:rsid w:val="00225816"/>
    <w:rsid w:val="002328A8"/>
    <w:rsid w:val="00232DA0"/>
    <w:rsid w:val="00233105"/>
    <w:rsid w:val="002334EE"/>
    <w:rsid w:val="0024680E"/>
    <w:rsid w:val="00247336"/>
    <w:rsid w:val="00250701"/>
    <w:rsid w:val="00250CD4"/>
    <w:rsid w:val="00254850"/>
    <w:rsid w:val="00264756"/>
    <w:rsid w:val="00273EEB"/>
    <w:rsid w:val="0027709D"/>
    <w:rsid w:val="00284433"/>
    <w:rsid w:val="0028728F"/>
    <w:rsid w:val="002937D0"/>
    <w:rsid w:val="00295E7C"/>
    <w:rsid w:val="002A3785"/>
    <w:rsid w:val="002A6368"/>
    <w:rsid w:val="002B0255"/>
    <w:rsid w:val="002B2025"/>
    <w:rsid w:val="002B7616"/>
    <w:rsid w:val="002B7FA9"/>
    <w:rsid w:val="002D4B12"/>
    <w:rsid w:val="002E33DD"/>
    <w:rsid w:val="002E6B4C"/>
    <w:rsid w:val="002F08F4"/>
    <w:rsid w:val="002F202A"/>
    <w:rsid w:val="002F6B40"/>
    <w:rsid w:val="002F6E75"/>
    <w:rsid w:val="002F6F41"/>
    <w:rsid w:val="00311A71"/>
    <w:rsid w:val="0031540A"/>
    <w:rsid w:val="00317E6D"/>
    <w:rsid w:val="00323958"/>
    <w:rsid w:val="0032610E"/>
    <w:rsid w:val="003333C4"/>
    <w:rsid w:val="00336084"/>
    <w:rsid w:val="003421EF"/>
    <w:rsid w:val="00347695"/>
    <w:rsid w:val="00353297"/>
    <w:rsid w:val="003621F8"/>
    <w:rsid w:val="00374011"/>
    <w:rsid w:val="00394672"/>
    <w:rsid w:val="003A1265"/>
    <w:rsid w:val="003A167C"/>
    <w:rsid w:val="003B49ED"/>
    <w:rsid w:val="003C2EAB"/>
    <w:rsid w:val="003C55AF"/>
    <w:rsid w:val="003C5E1C"/>
    <w:rsid w:val="003D4DE3"/>
    <w:rsid w:val="003D5464"/>
    <w:rsid w:val="003E7163"/>
    <w:rsid w:val="003F0337"/>
    <w:rsid w:val="003F0A96"/>
    <w:rsid w:val="003F3A62"/>
    <w:rsid w:val="003F7839"/>
    <w:rsid w:val="003F7FD6"/>
    <w:rsid w:val="004049C5"/>
    <w:rsid w:val="00415744"/>
    <w:rsid w:val="0042549E"/>
    <w:rsid w:val="0043165E"/>
    <w:rsid w:val="00433832"/>
    <w:rsid w:val="004339FB"/>
    <w:rsid w:val="004359EF"/>
    <w:rsid w:val="00437190"/>
    <w:rsid w:val="00441FA9"/>
    <w:rsid w:val="004520D4"/>
    <w:rsid w:val="004520DA"/>
    <w:rsid w:val="004545FB"/>
    <w:rsid w:val="004706BC"/>
    <w:rsid w:val="00472D91"/>
    <w:rsid w:val="004751B4"/>
    <w:rsid w:val="0048597C"/>
    <w:rsid w:val="0048601C"/>
    <w:rsid w:val="00486D6E"/>
    <w:rsid w:val="00487467"/>
    <w:rsid w:val="00495CD5"/>
    <w:rsid w:val="004A1ADF"/>
    <w:rsid w:val="004A72E7"/>
    <w:rsid w:val="004B3455"/>
    <w:rsid w:val="004B501D"/>
    <w:rsid w:val="004C41AF"/>
    <w:rsid w:val="004D15C3"/>
    <w:rsid w:val="004E08E4"/>
    <w:rsid w:val="004E7A5E"/>
    <w:rsid w:val="004F16F9"/>
    <w:rsid w:val="004F2B78"/>
    <w:rsid w:val="004F4CFC"/>
    <w:rsid w:val="004F6318"/>
    <w:rsid w:val="005014C2"/>
    <w:rsid w:val="00510F35"/>
    <w:rsid w:val="005177D8"/>
    <w:rsid w:val="00520B27"/>
    <w:rsid w:val="00530200"/>
    <w:rsid w:val="00533E16"/>
    <w:rsid w:val="005456CE"/>
    <w:rsid w:val="00545A94"/>
    <w:rsid w:val="0055184D"/>
    <w:rsid w:val="005527D0"/>
    <w:rsid w:val="005572BF"/>
    <w:rsid w:val="00563483"/>
    <w:rsid w:val="00566DD6"/>
    <w:rsid w:val="00573E03"/>
    <w:rsid w:val="0057477E"/>
    <w:rsid w:val="005750DC"/>
    <w:rsid w:val="005807E5"/>
    <w:rsid w:val="00581C8B"/>
    <w:rsid w:val="00582E2A"/>
    <w:rsid w:val="005859C3"/>
    <w:rsid w:val="00594F8F"/>
    <w:rsid w:val="005A09E7"/>
    <w:rsid w:val="005A25C8"/>
    <w:rsid w:val="005C454E"/>
    <w:rsid w:val="005C50F9"/>
    <w:rsid w:val="005D506E"/>
    <w:rsid w:val="005E26A7"/>
    <w:rsid w:val="005F6BB1"/>
    <w:rsid w:val="00607579"/>
    <w:rsid w:val="006123B8"/>
    <w:rsid w:val="00613CE2"/>
    <w:rsid w:val="00631C9A"/>
    <w:rsid w:val="0063290C"/>
    <w:rsid w:val="006336EB"/>
    <w:rsid w:val="00636F97"/>
    <w:rsid w:val="0064618B"/>
    <w:rsid w:val="0065375C"/>
    <w:rsid w:val="006546F7"/>
    <w:rsid w:val="006553A3"/>
    <w:rsid w:val="006560DD"/>
    <w:rsid w:val="00661B38"/>
    <w:rsid w:val="0066423D"/>
    <w:rsid w:val="00671210"/>
    <w:rsid w:val="0067434A"/>
    <w:rsid w:val="00676B92"/>
    <w:rsid w:val="006801F7"/>
    <w:rsid w:val="0068057B"/>
    <w:rsid w:val="00686495"/>
    <w:rsid w:val="00693AD8"/>
    <w:rsid w:val="00696C19"/>
    <w:rsid w:val="006A27F5"/>
    <w:rsid w:val="006B346D"/>
    <w:rsid w:val="006B5EE7"/>
    <w:rsid w:val="006B6BB2"/>
    <w:rsid w:val="006C0195"/>
    <w:rsid w:val="006C778E"/>
    <w:rsid w:val="006D2B3B"/>
    <w:rsid w:val="006D5896"/>
    <w:rsid w:val="006E06DE"/>
    <w:rsid w:val="006E2165"/>
    <w:rsid w:val="006E5571"/>
    <w:rsid w:val="006F0177"/>
    <w:rsid w:val="006F1C36"/>
    <w:rsid w:val="006F30EB"/>
    <w:rsid w:val="006F4369"/>
    <w:rsid w:val="006F4450"/>
    <w:rsid w:val="006F7371"/>
    <w:rsid w:val="007053CE"/>
    <w:rsid w:val="00710767"/>
    <w:rsid w:val="00716692"/>
    <w:rsid w:val="007172E9"/>
    <w:rsid w:val="007206CD"/>
    <w:rsid w:val="007322E5"/>
    <w:rsid w:val="00733D7C"/>
    <w:rsid w:val="00751024"/>
    <w:rsid w:val="00751461"/>
    <w:rsid w:val="00757289"/>
    <w:rsid w:val="0076351F"/>
    <w:rsid w:val="00783170"/>
    <w:rsid w:val="0079332C"/>
    <w:rsid w:val="007A78F2"/>
    <w:rsid w:val="007B1508"/>
    <w:rsid w:val="007B67D4"/>
    <w:rsid w:val="007C3BC4"/>
    <w:rsid w:val="007D5AFB"/>
    <w:rsid w:val="007D72B8"/>
    <w:rsid w:val="007F0798"/>
    <w:rsid w:val="007F799F"/>
    <w:rsid w:val="008063BC"/>
    <w:rsid w:val="008138CE"/>
    <w:rsid w:val="00814927"/>
    <w:rsid w:val="00821BC1"/>
    <w:rsid w:val="00830678"/>
    <w:rsid w:val="00833ACE"/>
    <w:rsid w:val="00834907"/>
    <w:rsid w:val="00841391"/>
    <w:rsid w:val="0085493A"/>
    <w:rsid w:val="008557AF"/>
    <w:rsid w:val="008671E5"/>
    <w:rsid w:val="00873281"/>
    <w:rsid w:val="008769D3"/>
    <w:rsid w:val="008803AF"/>
    <w:rsid w:val="0088087E"/>
    <w:rsid w:val="008824CC"/>
    <w:rsid w:val="00883447"/>
    <w:rsid w:val="00893838"/>
    <w:rsid w:val="008A070F"/>
    <w:rsid w:val="008A3650"/>
    <w:rsid w:val="008B4CA7"/>
    <w:rsid w:val="008D2565"/>
    <w:rsid w:val="008D2CC6"/>
    <w:rsid w:val="008D6737"/>
    <w:rsid w:val="008E094F"/>
    <w:rsid w:val="008F0608"/>
    <w:rsid w:val="008F20D3"/>
    <w:rsid w:val="00903D20"/>
    <w:rsid w:val="00913371"/>
    <w:rsid w:val="00916B00"/>
    <w:rsid w:val="00925C66"/>
    <w:rsid w:val="009306A4"/>
    <w:rsid w:val="00932D54"/>
    <w:rsid w:val="00934E45"/>
    <w:rsid w:val="00936DE6"/>
    <w:rsid w:val="0093749A"/>
    <w:rsid w:val="009416CD"/>
    <w:rsid w:val="00946B9B"/>
    <w:rsid w:val="00957BBE"/>
    <w:rsid w:val="00967C21"/>
    <w:rsid w:val="00970A3B"/>
    <w:rsid w:val="0097126A"/>
    <w:rsid w:val="009716A4"/>
    <w:rsid w:val="00980B76"/>
    <w:rsid w:val="00982A1E"/>
    <w:rsid w:val="00983DD3"/>
    <w:rsid w:val="00983EAA"/>
    <w:rsid w:val="00985B24"/>
    <w:rsid w:val="00986547"/>
    <w:rsid w:val="00992B93"/>
    <w:rsid w:val="00994B94"/>
    <w:rsid w:val="009A05AC"/>
    <w:rsid w:val="009A56D9"/>
    <w:rsid w:val="009B23B5"/>
    <w:rsid w:val="009B2479"/>
    <w:rsid w:val="009B4A10"/>
    <w:rsid w:val="009B4A85"/>
    <w:rsid w:val="009C2AAC"/>
    <w:rsid w:val="009C2C0A"/>
    <w:rsid w:val="009C36A5"/>
    <w:rsid w:val="009C79E1"/>
    <w:rsid w:val="009C7B23"/>
    <w:rsid w:val="009E0F79"/>
    <w:rsid w:val="009E4519"/>
    <w:rsid w:val="009E4F76"/>
    <w:rsid w:val="009E7206"/>
    <w:rsid w:val="009F1C2C"/>
    <w:rsid w:val="009F246A"/>
    <w:rsid w:val="009F58EF"/>
    <w:rsid w:val="009F72D6"/>
    <w:rsid w:val="009F72EF"/>
    <w:rsid w:val="00A00CA0"/>
    <w:rsid w:val="00A242DB"/>
    <w:rsid w:val="00A271C9"/>
    <w:rsid w:val="00A344D3"/>
    <w:rsid w:val="00A34AE3"/>
    <w:rsid w:val="00A56F29"/>
    <w:rsid w:val="00A624F2"/>
    <w:rsid w:val="00A6515B"/>
    <w:rsid w:val="00A65BAF"/>
    <w:rsid w:val="00A67619"/>
    <w:rsid w:val="00A67DD1"/>
    <w:rsid w:val="00A708EB"/>
    <w:rsid w:val="00A709A3"/>
    <w:rsid w:val="00A77390"/>
    <w:rsid w:val="00A80D75"/>
    <w:rsid w:val="00A848E0"/>
    <w:rsid w:val="00A92D78"/>
    <w:rsid w:val="00AA22B4"/>
    <w:rsid w:val="00AA4522"/>
    <w:rsid w:val="00AB053B"/>
    <w:rsid w:val="00AC14AC"/>
    <w:rsid w:val="00AC3CD0"/>
    <w:rsid w:val="00AC3CEF"/>
    <w:rsid w:val="00AC3E64"/>
    <w:rsid w:val="00AC539F"/>
    <w:rsid w:val="00AD6073"/>
    <w:rsid w:val="00AD79F8"/>
    <w:rsid w:val="00AE0FF1"/>
    <w:rsid w:val="00AE30A6"/>
    <w:rsid w:val="00AF07AA"/>
    <w:rsid w:val="00B0054C"/>
    <w:rsid w:val="00B07C4B"/>
    <w:rsid w:val="00B100D1"/>
    <w:rsid w:val="00B15ABE"/>
    <w:rsid w:val="00B25F9E"/>
    <w:rsid w:val="00B2658A"/>
    <w:rsid w:val="00B3346E"/>
    <w:rsid w:val="00B41202"/>
    <w:rsid w:val="00B4156C"/>
    <w:rsid w:val="00B43F57"/>
    <w:rsid w:val="00B44B49"/>
    <w:rsid w:val="00B50DD6"/>
    <w:rsid w:val="00B51ABD"/>
    <w:rsid w:val="00B528B7"/>
    <w:rsid w:val="00B53BAE"/>
    <w:rsid w:val="00B55E15"/>
    <w:rsid w:val="00B62182"/>
    <w:rsid w:val="00B64EE1"/>
    <w:rsid w:val="00B71BA9"/>
    <w:rsid w:val="00B75F62"/>
    <w:rsid w:val="00B913B6"/>
    <w:rsid w:val="00BB4D11"/>
    <w:rsid w:val="00BB51CA"/>
    <w:rsid w:val="00BC73DB"/>
    <w:rsid w:val="00BE0422"/>
    <w:rsid w:val="00BE483C"/>
    <w:rsid w:val="00BE740F"/>
    <w:rsid w:val="00BE779C"/>
    <w:rsid w:val="00C01769"/>
    <w:rsid w:val="00C03594"/>
    <w:rsid w:val="00C0393B"/>
    <w:rsid w:val="00C0430C"/>
    <w:rsid w:val="00C04C3E"/>
    <w:rsid w:val="00C11CEE"/>
    <w:rsid w:val="00C177B9"/>
    <w:rsid w:val="00C17B8D"/>
    <w:rsid w:val="00C26E95"/>
    <w:rsid w:val="00C3280C"/>
    <w:rsid w:val="00C33BDB"/>
    <w:rsid w:val="00C3660A"/>
    <w:rsid w:val="00C4444F"/>
    <w:rsid w:val="00C455A0"/>
    <w:rsid w:val="00C5632E"/>
    <w:rsid w:val="00C56E15"/>
    <w:rsid w:val="00C57840"/>
    <w:rsid w:val="00C61DC9"/>
    <w:rsid w:val="00C73850"/>
    <w:rsid w:val="00C75A07"/>
    <w:rsid w:val="00C83692"/>
    <w:rsid w:val="00C928D8"/>
    <w:rsid w:val="00C9304B"/>
    <w:rsid w:val="00CA4367"/>
    <w:rsid w:val="00CA59A5"/>
    <w:rsid w:val="00CD0629"/>
    <w:rsid w:val="00CD63C8"/>
    <w:rsid w:val="00CF0B31"/>
    <w:rsid w:val="00CF2B2B"/>
    <w:rsid w:val="00CF7868"/>
    <w:rsid w:val="00D004F1"/>
    <w:rsid w:val="00D10860"/>
    <w:rsid w:val="00D149C3"/>
    <w:rsid w:val="00D16A81"/>
    <w:rsid w:val="00D330A4"/>
    <w:rsid w:val="00D4185F"/>
    <w:rsid w:val="00D43825"/>
    <w:rsid w:val="00D43C7B"/>
    <w:rsid w:val="00D52387"/>
    <w:rsid w:val="00D52D85"/>
    <w:rsid w:val="00D52FED"/>
    <w:rsid w:val="00D6508F"/>
    <w:rsid w:val="00D762F4"/>
    <w:rsid w:val="00D86FEF"/>
    <w:rsid w:val="00D8768D"/>
    <w:rsid w:val="00D87E21"/>
    <w:rsid w:val="00DA223F"/>
    <w:rsid w:val="00DA49EA"/>
    <w:rsid w:val="00DA581D"/>
    <w:rsid w:val="00DA7DB8"/>
    <w:rsid w:val="00DB6733"/>
    <w:rsid w:val="00DC10C1"/>
    <w:rsid w:val="00DC5117"/>
    <w:rsid w:val="00DF419F"/>
    <w:rsid w:val="00E037D8"/>
    <w:rsid w:val="00E173E1"/>
    <w:rsid w:val="00E276A2"/>
    <w:rsid w:val="00E30CD4"/>
    <w:rsid w:val="00E40804"/>
    <w:rsid w:val="00E53FB7"/>
    <w:rsid w:val="00E643D0"/>
    <w:rsid w:val="00E65505"/>
    <w:rsid w:val="00E90E78"/>
    <w:rsid w:val="00EA447F"/>
    <w:rsid w:val="00EB021C"/>
    <w:rsid w:val="00EB41E9"/>
    <w:rsid w:val="00EB5E56"/>
    <w:rsid w:val="00EB6E9D"/>
    <w:rsid w:val="00EB714C"/>
    <w:rsid w:val="00EC0F04"/>
    <w:rsid w:val="00EC57D9"/>
    <w:rsid w:val="00EC58DF"/>
    <w:rsid w:val="00EC6A73"/>
    <w:rsid w:val="00EC6AE9"/>
    <w:rsid w:val="00EE0E46"/>
    <w:rsid w:val="00EF257E"/>
    <w:rsid w:val="00EF3492"/>
    <w:rsid w:val="00EF39CB"/>
    <w:rsid w:val="00F17B30"/>
    <w:rsid w:val="00F23E1B"/>
    <w:rsid w:val="00F27281"/>
    <w:rsid w:val="00F278A9"/>
    <w:rsid w:val="00F34901"/>
    <w:rsid w:val="00F44C74"/>
    <w:rsid w:val="00F501C9"/>
    <w:rsid w:val="00F5416D"/>
    <w:rsid w:val="00F62107"/>
    <w:rsid w:val="00F62B11"/>
    <w:rsid w:val="00F8211A"/>
    <w:rsid w:val="00F82572"/>
    <w:rsid w:val="00F84E33"/>
    <w:rsid w:val="00F96CF4"/>
    <w:rsid w:val="00FA1D6D"/>
    <w:rsid w:val="00FA33C3"/>
    <w:rsid w:val="00FA6824"/>
    <w:rsid w:val="00FB1970"/>
    <w:rsid w:val="00FB51DA"/>
    <w:rsid w:val="00FB6C05"/>
    <w:rsid w:val="00FC3776"/>
    <w:rsid w:val="00FC588E"/>
    <w:rsid w:val="00FC76D9"/>
    <w:rsid w:val="00FE01BC"/>
    <w:rsid w:val="00FE033F"/>
    <w:rsid w:val="00FE4A9F"/>
    <w:rsid w:val="00FF0552"/>
    <w:rsid w:val="00FF080E"/>
    <w:rsid w:val="00FF339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5251202-B229-4561-8BA7-CF77C0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01FA-AEB3-47F0-B950-6E1EA6AE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2019-01-29T23:12:00Z</dcterms:created>
  <dcterms:modified xsi:type="dcterms:W3CDTF">2019-01-29T23:13:00Z</dcterms:modified>
</cp:coreProperties>
</file>