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EA1D7F" w:rsidRDefault="00985B24" w:rsidP="00985B24">
      <w:pPr>
        <w:rPr>
          <w:b/>
        </w:rPr>
      </w:pPr>
    </w:p>
    <w:p w:rsidR="00D31E40" w:rsidRPr="00EA1D7F" w:rsidRDefault="00D31E40" w:rsidP="00D31E40">
      <w:pPr>
        <w:rPr>
          <w:sz w:val="40"/>
          <w:szCs w:val="40"/>
        </w:rPr>
      </w:pPr>
      <w:r w:rsidRPr="00EA1D7F">
        <w:rPr>
          <w:b/>
          <w:sz w:val="40"/>
          <w:szCs w:val="40"/>
        </w:rPr>
        <w:t>ANEXO 1</w:t>
      </w:r>
      <w:r w:rsidR="00E705F1" w:rsidRPr="00EA1D7F">
        <w:rPr>
          <w:b/>
          <w:sz w:val="40"/>
          <w:szCs w:val="40"/>
        </w:rPr>
        <w:t>: DATOS</w:t>
      </w:r>
      <w:r w:rsidRPr="00EA1D7F">
        <w:rPr>
          <w:b/>
          <w:sz w:val="40"/>
          <w:szCs w:val="40"/>
        </w:rPr>
        <w:t xml:space="preserve">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EA1D7F" w:rsidRPr="00EA1D7F" w:rsidTr="000E161C">
        <w:tc>
          <w:tcPr>
            <w:tcW w:w="3369" w:type="dxa"/>
            <w:gridSpan w:val="4"/>
            <w:shd w:val="clear" w:color="auto" w:fill="D9D9D9" w:themeFill="background1" w:themeFillShade="D9"/>
          </w:tcPr>
          <w:p w:rsidR="00C00596" w:rsidRPr="00EA1D7F" w:rsidRDefault="00C00596" w:rsidP="00C00596">
            <w:pPr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5"/>
          </w:tcPr>
          <w:p w:rsidR="00C00596" w:rsidRPr="00EA1D7F" w:rsidRDefault="00C00596" w:rsidP="00C00596">
            <w:pPr>
              <w:jc w:val="both"/>
            </w:pPr>
            <w:r w:rsidRPr="00EA1D7F">
              <w:rPr>
                <w:rFonts w:cs="Arial"/>
                <w:b/>
              </w:rPr>
              <w:t>3_Asesoria y representación legal.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C00596" w:rsidRPr="00EA1D7F" w:rsidRDefault="00C00596" w:rsidP="00C00596">
            <w:r w:rsidRPr="00EA1D7F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C00596" w:rsidRPr="00EA1D7F" w:rsidRDefault="00C00596" w:rsidP="00C00596">
            <w:pPr>
              <w:jc w:val="both"/>
            </w:pPr>
          </w:p>
        </w:tc>
      </w:tr>
      <w:tr w:rsidR="00EA1D7F" w:rsidRPr="00EA1D7F" w:rsidTr="000E161C">
        <w:tc>
          <w:tcPr>
            <w:tcW w:w="3369" w:type="dxa"/>
            <w:gridSpan w:val="4"/>
            <w:shd w:val="clear" w:color="auto" w:fill="D9D9D9" w:themeFill="background1" w:themeFillShade="D9"/>
          </w:tcPr>
          <w:p w:rsidR="00C00596" w:rsidRPr="00EA1D7F" w:rsidRDefault="00C00596" w:rsidP="00C00596">
            <w:r w:rsidRPr="00EA1D7F">
              <w:t>B)Dirección o área responsable</w:t>
            </w:r>
          </w:p>
        </w:tc>
        <w:tc>
          <w:tcPr>
            <w:tcW w:w="6115" w:type="dxa"/>
            <w:gridSpan w:val="5"/>
          </w:tcPr>
          <w:p w:rsidR="00C00596" w:rsidRPr="00EA1D7F" w:rsidRDefault="00C00596" w:rsidP="00C00596">
            <w:pPr>
              <w:jc w:val="both"/>
            </w:pPr>
            <w:r w:rsidRPr="00EA1D7F">
              <w:t>Centro Público de Mediación Municipal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C00596" w:rsidRPr="00EA1D7F" w:rsidRDefault="00C00596" w:rsidP="00C00596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C00596" w:rsidRPr="00EA1D7F" w:rsidRDefault="00C00596" w:rsidP="00C00596">
            <w:pPr>
              <w:jc w:val="both"/>
            </w:pPr>
          </w:p>
        </w:tc>
      </w:tr>
      <w:tr w:rsidR="00EA1D7F" w:rsidRPr="00EA1D7F" w:rsidTr="000E161C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C00596" w:rsidRPr="00EA1D7F" w:rsidRDefault="00C00596" w:rsidP="00C00596">
            <w:r w:rsidRPr="00EA1D7F">
              <w:t xml:space="preserve">C)Problemática que atiende la propuesta </w:t>
            </w:r>
          </w:p>
        </w:tc>
        <w:tc>
          <w:tcPr>
            <w:tcW w:w="6115" w:type="dxa"/>
            <w:gridSpan w:val="5"/>
            <w:vMerge w:val="restart"/>
          </w:tcPr>
          <w:p w:rsidR="00C00596" w:rsidRPr="00EA1D7F" w:rsidRDefault="00275317" w:rsidP="00275317">
            <w:pPr>
              <w:jc w:val="both"/>
            </w:pPr>
            <w:r w:rsidRPr="00EA1D7F">
              <w:rPr>
                <w:rFonts w:cs="Arial"/>
              </w:rPr>
              <w:t xml:space="preserve">Incremento de situaciones del orden civil y familiar que afecta a la población de San Pedro Tlaquepaque, quien recurre en búsqueda de asesoría especializada profesional en estas materias.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C00596" w:rsidRPr="00EA1D7F" w:rsidRDefault="00C00596" w:rsidP="00C00596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C00596" w:rsidRPr="00EA1D7F" w:rsidRDefault="00C00596" w:rsidP="00C00596">
            <w:pPr>
              <w:jc w:val="both"/>
            </w:pPr>
          </w:p>
        </w:tc>
      </w:tr>
      <w:tr w:rsidR="00EA1D7F" w:rsidRPr="00EA1D7F" w:rsidTr="00275317">
        <w:trPr>
          <w:trHeight w:val="269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C00596" w:rsidRPr="00EA1D7F" w:rsidRDefault="00C00596" w:rsidP="00C00596"/>
        </w:tc>
        <w:tc>
          <w:tcPr>
            <w:tcW w:w="6115" w:type="dxa"/>
            <w:gridSpan w:val="5"/>
            <w:vMerge/>
          </w:tcPr>
          <w:p w:rsidR="00C00596" w:rsidRPr="00EA1D7F" w:rsidRDefault="00C00596" w:rsidP="00C00596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C00596" w:rsidRPr="00EA1D7F" w:rsidRDefault="00C00596" w:rsidP="00C00596">
            <w:r w:rsidRPr="00EA1D7F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C00596" w:rsidRPr="00EA1D7F" w:rsidRDefault="00C00596" w:rsidP="00C00596">
            <w:pPr>
              <w:jc w:val="both"/>
            </w:pPr>
          </w:p>
        </w:tc>
      </w:tr>
      <w:tr w:rsidR="00EA1D7F" w:rsidRPr="00EA1D7F" w:rsidTr="000E161C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C00596" w:rsidRPr="00EA1D7F" w:rsidRDefault="00C00596" w:rsidP="00C00596">
            <w:pPr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115" w:type="dxa"/>
            <w:gridSpan w:val="5"/>
          </w:tcPr>
          <w:p w:rsidR="00C00596" w:rsidRPr="00EA1D7F" w:rsidRDefault="00BE2732" w:rsidP="00C00596">
            <w:pPr>
              <w:jc w:val="both"/>
            </w:pPr>
            <w:r w:rsidRPr="00EA1D7F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C00596" w:rsidRPr="00EA1D7F" w:rsidRDefault="00C00596" w:rsidP="00C00596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C00596" w:rsidRPr="00EA1D7F" w:rsidRDefault="00C00596" w:rsidP="00C00596">
            <w:pPr>
              <w:jc w:val="both"/>
            </w:pPr>
          </w:p>
        </w:tc>
      </w:tr>
      <w:tr w:rsidR="00EA1D7F" w:rsidRPr="00EA1D7F" w:rsidTr="000E161C">
        <w:tc>
          <w:tcPr>
            <w:tcW w:w="3369" w:type="dxa"/>
            <w:gridSpan w:val="4"/>
            <w:shd w:val="clear" w:color="auto" w:fill="D9D9D9" w:themeFill="background1" w:themeFillShade="D9"/>
          </w:tcPr>
          <w:p w:rsidR="00C00596" w:rsidRPr="00EA1D7F" w:rsidRDefault="00C00596" w:rsidP="00C00596">
            <w:r w:rsidRPr="00EA1D7F">
              <w:t xml:space="preserve">E)Nombre del enlace o responsable </w:t>
            </w:r>
          </w:p>
        </w:tc>
        <w:tc>
          <w:tcPr>
            <w:tcW w:w="6115" w:type="dxa"/>
            <w:gridSpan w:val="5"/>
          </w:tcPr>
          <w:p w:rsidR="00C00596" w:rsidRPr="00EA1D7F" w:rsidRDefault="00C00596" w:rsidP="00C00596">
            <w:pPr>
              <w:jc w:val="both"/>
              <w:rPr>
                <w:vanish/>
              </w:rPr>
            </w:pPr>
            <w:r w:rsidRPr="00EA1D7F">
              <w:t>Lic. Luis Eduardo López Ramírez, teléfono celular 3338423000, e-mail  lic_eduardo19   hotmail.com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C00596" w:rsidRPr="00EA1D7F" w:rsidRDefault="00C00596" w:rsidP="00C00596">
            <w:r w:rsidRPr="00EA1D7F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C00596" w:rsidRPr="00EA1D7F" w:rsidRDefault="00C00596" w:rsidP="00C00596">
            <w:pPr>
              <w:jc w:val="both"/>
            </w:pPr>
          </w:p>
        </w:tc>
      </w:tr>
      <w:tr w:rsidR="00EA1D7F" w:rsidRPr="00EA1D7F" w:rsidTr="000E161C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C00596" w:rsidRPr="00EA1D7F" w:rsidRDefault="00C00596" w:rsidP="00C00596">
            <w:pPr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F)Objetivo específico</w:t>
            </w:r>
          </w:p>
        </w:tc>
        <w:tc>
          <w:tcPr>
            <w:tcW w:w="6115" w:type="dxa"/>
            <w:gridSpan w:val="5"/>
          </w:tcPr>
          <w:p w:rsidR="00C00596" w:rsidRPr="00EA1D7F" w:rsidRDefault="00C00596" w:rsidP="00C00596">
            <w:pPr>
              <w:jc w:val="both"/>
            </w:pPr>
            <w:r w:rsidRPr="00EA1D7F">
              <w:rPr>
                <w:rFonts w:cs="Arial"/>
              </w:rPr>
              <w:t>Ampliar las funciones de este centro de mediación para homologarlas con las de la Procuraduría Social del Estado, en el sentido de brindar asesoría y representación jurídica en asuntos del orden civil y familiar, ello dado en número cada vez mayor de ciudadanos que se presentan al centro de mediación solicitando este tipo de servicios.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C00596" w:rsidRPr="00EA1D7F" w:rsidRDefault="00C00596" w:rsidP="00C00596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C00596" w:rsidRPr="00EA1D7F" w:rsidRDefault="00C00596" w:rsidP="00C00596">
            <w:pPr>
              <w:jc w:val="both"/>
            </w:pPr>
          </w:p>
        </w:tc>
      </w:tr>
      <w:tr w:rsidR="00EA1D7F" w:rsidRPr="00EA1D7F" w:rsidTr="000E161C">
        <w:tc>
          <w:tcPr>
            <w:tcW w:w="3369" w:type="dxa"/>
            <w:gridSpan w:val="4"/>
            <w:shd w:val="clear" w:color="auto" w:fill="D9D9D9" w:themeFill="background1" w:themeFillShade="D9"/>
          </w:tcPr>
          <w:p w:rsidR="00BE2732" w:rsidRPr="00EA1D7F" w:rsidRDefault="00BE2732" w:rsidP="00BE2732">
            <w:r w:rsidRPr="00EA1D7F">
              <w:t>G) Perfil de la población atendida o beneficiada</w:t>
            </w:r>
          </w:p>
        </w:tc>
        <w:tc>
          <w:tcPr>
            <w:tcW w:w="9922" w:type="dxa"/>
            <w:gridSpan w:val="9"/>
          </w:tcPr>
          <w:p w:rsidR="00BE2732" w:rsidRPr="00EA1D7F" w:rsidRDefault="00BE2732" w:rsidP="00BE2732">
            <w:pPr>
              <w:jc w:val="both"/>
            </w:pPr>
            <w:r w:rsidRPr="00EA1D7F">
              <w:t>1 Dependencia de la Administración Pública Municipal.</w:t>
            </w:r>
          </w:p>
        </w:tc>
      </w:tr>
      <w:tr w:rsidR="00EA1D7F" w:rsidRPr="00EA1D7F" w:rsidTr="00E97FB2">
        <w:tc>
          <w:tcPr>
            <w:tcW w:w="3953" w:type="dxa"/>
            <w:gridSpan w:val="5"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</w:pPr>
            <w:r w:rsidRPr="00EA1D7F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</w:pPr>
            <w:r w:rsidRPr="00EA1D7F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</w:pPr>
            <w:r w:rsidRPr="00EA1D7F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</w:pPr>
            <w:r w:rsidRPr="00EA1D7F">
              <w:t>K)Fecha de Cierre</w:t>
            </w:r>
          </w:p>
        </w:tc>
      </w:tr>
      <w:tr w:rsidR="00EA1D7F" w:rsidRPr="00EA1D7F" w:rsidTr="00E97FB2">
        <w:tc>
          <w:tcPr>
            <w:tcW w:w="1057" w:type="dxa"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E97FB2" w:rsidRPr="00EA1D7F" w:rsidRDefault="00E97FB2" w:rsidP="002D241B">
            <w:pPr>
              <w:jc w:val="center"/>
            </w:pPr>
            <w:r w:rsidRPr="00EA1D7F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E97FB2" w:rsidRPr="00EA1D7F" w:rsidRDefault="00E97FB2" w:rsidP="002D241B">
            <w:pPr>
              <w:jc w:val="center"/>
            </w:pPr>
            <w:r w:rsidRPr="00EA1D7F">
              <w:t>30 Septiembre 2019</w:t>
            </w:r>
          </w:p>
        </w:tc>
      </w:tr>
      <w:tr w:rsidR="00EA1D7F" w:rsidRPr="00EA1D7F" w:rsidTr="00E97FB2">
        <w:tc>
          <w:tcPr>
            <w:tcW w:w="1057" w:type="dxa"/>
            <w:shd w:val="clear" w:color="auto" w:fill="FFFFFF" w:themeFill="background1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X</w:t>
            </w: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E97FB2" w:rsidRPr="00EA1D7F" w:rsidRDefault="000E161C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E97FB2" w:rsidRPr="00EA1D7F" w:rsidRDefault="00E97FB2" w:rsidP="002D241B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E97FB2" w:rsidRPr="00EA1D7F" w:rsidRDefault="00E97FB2" w:rsidP="002D241B">
            <w:pPr>
              <w:jc w:val="center"/>
            </w:pPr>
          </w:p>
        </w:tc>
      </w:tr>
      <w:tr w:rsidR="00EA1D7F" w:rsidRPr="00EA1D7F" w:rsidTr="00E97FB2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97FB2" w:rsidRPr="00EA1D7F" w:rsidRDefault="00E97FB2" w:rsidP="002D241B">
            <w:pPr>
              <w:jc w:val="center"/>
            </w:pPr>
            <w:r w:rsidRPr="00EA1D7F">
              <w:t>L)Monto total estimado</w:t>
            </w:r>
          </w:p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  <w:r w:rsidRPr="00EA1D7F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E97FB2" w:rsidRPr="00EA1D7F" w:rsidRDefault="00E97FB2" w:rsidP="002D241B">
            <w:pPr>
              <w:jc w:val="center"/>
            </w:pPr>
            <w:r w:rsidRPr="00EA1D7F">
              <w:t>M)Categoría para Presupuesto</w:t>
            </w:r>
          </w:p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  <w:r w:rsidRPr="00EA1D7F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 xml:space="preserve">(c) Fondos del Gobierno  </w:t>
            </w:r>
          </w:p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Federal o Estatal</w:t>
            </w:r>
          </w:p>
        </w:tc>
      </w:tr>
      <w:tr w:rsidR="00EA1D7F" w:rsidRPr="00EA1D7F" w:rsidTr="00E97FB2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E97FB2" w:rsidRPr="00EA1D7F" w:rsidRDefault="00E97FB2" w:rsidP="002D241B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E97FB2" w:rsidRPr="00EA1D7F" w:rsidRDefault="00E97FB2" w:rsidP="002D241B">
            <w:pPr>
              <w:jc w:val="center"/>
            </w:pPr>
            <w:r w:rsidRPr="00EA1D7F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 xml:space="preserve">Participación </w:t>
            </w:r>
          </w:p>
          <w:p w:rsidR="00E97FB2" w:rsidRPr="00EA1D7F" w:rsidRDefault="00E97FB2" w:rsidP="002D241B">
            <w:pPr>
              <w:jc w:val="center"/>
            </w:pPr>
            <w:r w:rsidRPr="00EA1D7F">
              <w:rPr>
                <w:sz w:val="20"/>
                <w:szCs w:val="20"/>
              </w:rPr>
              <w:t>Federal /Estatal</w:t>
            </w:r>
          </w:p>
        </w:tc>
      </w:tr>
      <w:tr w:rsidR="00EA1D7F" w:rsidRPr="00EA1D7F" w:rsidTr="00E97FB2">
        <w:tc>
          <w:tcPr>
            <w:tcW w:w="2970" w:type="dxa"/>
            <w:gridSpan w:val="3"/>
            <w:shd w:val="clear" w:color="auto" w:fill="FFFFFF" w:themeFill="background1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E97FB2" w:rsidRPr="00EA1D7F" w:rsidRDefault="00E97FB2" w:rsidP="002D241B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E97FB2" w:rsidRPr="00EA1D7F" w:rsidRDefault="00E97FB2" w:rsidP="002D241B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E97FB2" w:rsidRPr="00EA1D7F" w:rsidRDefault="00E97FB2" w:rsidP="002D241B">
            <w:pPr>
              <w:jc w:val="center"/>
            </w:pPr>
          </w:p>
        </w:tc>
      </w:tr>
    </w:tbl>
    <w:p w:rsidR="00D31E40" w:rsidRPr="00EA1D7F" w:rsidRDefault="00D31E40" w:rsidP="00D31E40">
      <w:r w:rsidRPr="00EA1D7F">
        <w:br w:type="page"/>
      </w:r>
    </w:p>
    <w:p w:rsidR="00CE6D9B" w:rsidRDefault="00CE6D9B" w:rsidP="00D31E40">
      <w:pPr>
        <w:rPr>
          <w:b/>
          <w:sz w:val="40"/>
          <w:szCs w:val="40"/>
        </w:rPr>
      </w:pPr>
    </w:p>
    <w:p w:rsidR="00D31E40" w:rsidRPr="00EA1D7F" w:rsidRDefault="00D31E40" w:rsidP="00D31E40">
      <w:pPr>
        <w:rPr>
          <w:b/>
          <w:sz w:val="40"/>
          <w:szCs w:val="40"/>
        </w:rPr>
      </w:pPr>
      <w:bookmarkStart w:id="0" w:name="_GoBack"/>
      <w:bookmarkEnd w:id="0"/>
      <w:r w:rsidRPr="00EA1D7F">
        <w:rPr>
          <w:b/>
          <w:sz w:val="40"/>
          <w:szCs w:val="40"/>
        </w:rPr>
        <w:t>ANEXO 2</w:t>
      </w:r>
      <w:r w:rsidR="00901EF2" w:rsidRPr="00EA1D7F">
        <w:rPr>
          <w:b/>
          <w:sz w:val="40"/>
          <w:szCs w:val="40"/>
        </w:rPr>
        <w:t>: OPERACIÓN</w:t>
      </w:r>
      <w:r w:rsidRPr="00EA1D7F">
        <w:rPr>
          <w:b/>
          <w:sz w:val="40"/>
          <w:szCs w:val="40"/>
        </w:rPr>
        <w:t xml:space="preserve">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45"/>
        <w:gridCol w:w="1289"/>
        <w:gridCol w:w="853"/>
        <w:gridCol w:w="523"/>
        <w:gridCol w:w="2141"/>
        <w:gridCol w:w="1007"/>
        <w:gridCol w:w="1186"/>
        <w:gridCol w:w="1375"/>
        <w:gridCol w:w="1375"/>
      </w:tblGrid>
      <w:tr w:rsidR="00EA1D7F" w:rsidRPr="00EA1D7F" w:rsidTr="00ED7C69">
        <w:trPr>
          <w:trHeight w:val="547"/>
        </w:trPr>
        <w:tc>
          <w:tcPr>
            <w:tcW w:w="1259" w:type="pct"/>
            <w:shd w:val="clear" w:color="auto" w:fill="D9D9D9" w:themeFill="background1" w:themeFillShade="D9"/>
          </w:tcPr>
          <w:p w:rsidR="00E65FBF" w:rsidRPr="00EA1D7F" w:rsidRDefault="00E65FBF" w:rsidP="00041E81">
            <w:r w:rsidRPr="00EA1D7F">
              <w:t xml:space="preserve">Principal producto esperado (base para el establecimiento de metas) </w:t>
            </w:r>
          </w:p>
        </w:tc>
        <w:tc>
          <w:tcPr>
            <w:tcW w:w="3741" w:type="pct"/>
            <w:gridSpan w:val="8"/>
            <w:shd w:val="clear" w:color="auto" w:fill="auto"/>
          </w:tcPr>
          <w:p w:rsidR="00E65FBF" w:rsidRPr="00EA1D7F" w:rsidRDefault="00901EF2" w:rsidP="009B09E4">
            <w:r w:rsidRPr="00EA1D7F">
              <w:rPr>
                <w:rFonts w:cs="Arial"/>
              </w:rPr>
              <w:t xml:space="preserve">Brindar el servicio de asesoría jurídica y representación legal </w:t>
            </w:r>
            <w:r w:rsidR="009B09E4" w:rsidRPr="00EA1D7F">
              <w:rPr>
                <w:rFonts w:cs="Arial"/>
              </w:rPr>
              <w:t>en materia civil y familiar, en beneficio de</w:t>
            </w:r>
            <w:r w:rsidRPr="00EA1D7F">
              <w:rPr>
                <w:rFonts w:cs="Arial"/>
              </w:rPr>
              <w:t xml:space="preserve"> la población en general del </w:t>
            </w:r>
            <w:r w:rsidR="009B09E4" w:rsidRPr="00EA1D7F">
              <w:rPr>
                <w:rFonts w:cs="Arial"/>
              </w:rPr>
              <w:t>M</w:t>
            </w:r>
            <w:r w:rsidRPr="00EA1D7F">
              <w:rPr>
                <w:rFonts w:cs="Arial"/>
              </w:rPr>
              <w:t>unicipio</w:t>
            </w:r>
            <w:r w:rsidR="009B09E4" w:rsidRPr="00EA1D7F">
              <w:rPr>
                <w:rFonts w:cs="Arial"/>
              </w:rPr>
              <w:t xml:space="preserve"> de San Pedro Tlaquepaque, Jalisco</w:t>
            </w:r>
            <w:r w:rsidRPr="00EA1D7F">
              <w:rPr>
                <w:rFonts w:cs="Arial"/>
              </w:rPr>
              <w:t>.</w:t>
            </w:r>
          </w:p>
        </w:tc>
      </w:tr>
      <w:tr w:rsidR="00EA1D7F" w:rsidRPr="00EA1D7F" w:rsidTr="00ED7C69">
        <w:trPr>
          <w:trHeight w:val="547"/>
        </w:trPr>
        <w:tc>
          <w:tcPr>
            <w:tcW w:w="1259" w:type="pct"/>
            <w:shd w:val="clear" w:color="auto" w:fill="D9D9D9" w:themeFill="background1" w:themeFillShade="D9"/>
          </w:tcPr>
          <w:p w:rsidR="00E65FBF" w:rsidRPr="00EA1D7F" w:rsidRDefault="00E65FBF" w:rsidP="00041E81">
            <w:r w:rsidRPr="00EA1D7F">
              <w:t>Actividades a realizar para la obtención del producto esperado</w:t>
            </w:r>
          </w:p>
        </w:tc>
        <w:tc>
          <w:tcPr>
            <w:tcW w:w="3741" w:type="pct"/>
            <w:gridSpan w:val="8"/>
            <w:shd w:val="clear" w:color="auto" w:fill="auto"/>
          </w:tcPr>
          <w:p w:rsidR="00E65FBF" w:rsidRPr="00EA1D7F" w:rsidRDefault="00B00FAA" w:rsidP="00B00FAA">
            <w:pPr>
              <w:jc w:val="both"/>
              <w:rPr>
                <w:i/>
              </w:rPr>
            </w:pPr>
            <w:r w:rsidRPr="00EA1D7F">
              <w:rPr>
                <w:rFonts w:cstheme="minorHAnsi"/>
              </w:rPr>
              <w:t xml:space="preserve">Elaboración, aprobación y autorización del Proyecto Ejecutivo. </w:t>
            </w:r>
            <w:r w:rsidRPr="00EA1D7F">
              <w:t>Reuniones de acuerdo con el Procurador Social en el Estado de Jalisco.</w:t>
            </w:r>
            <w:r w:rsidRPr="00EA1D7F">
              <w:rPr>
                <w:rFonts w:cstheme="minorHAnsi"/>
                <w:shd w:val="clear" w:color="auto" w:fill="FFFFFF"/>
              </w:rPr>
              <w:t xml:space="preserve"> </w:t>
            </w:r>
            <w:r w:rsidRPr="00EA1D7F">
              <w:t xml:space="preserve">Orientación Jurídica. </w:t>
            </w:r>
            <w:r w:rsidRPr="00EA1D7F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</w:tr>
      <w:tr w:rsidR="00EA1D7F" w:rsidRPr="00EA1D7F" w:rsidTr="00ED7C69">
        <w:trPr>
          <w:trHeight w:val="547"/>
        </w:trPr>
        <w:tc>
          <w:tcPr>
            <w:tcW w:w="1259" w:type="pct"/>
            <w:shd w:val="clear" w:color="auto" w:fill="D9D9D9" w:themeFill="background1" w:themeFillShade="D9"/>
          </w:tcPr>
          <w:p w:rsidR="00E65FBF" w:rsidRPr="00EA1D7F" w:rsidRDefault="00E65FBF" w:rsidP="00041E81">
            <w:r w:rsidRPr="00EA1D7F">
              <w:t xml:space="preserve">Objetivos del programa estratégico </w:t>
            </w:r>
          </w:p>
        </w:tc>
        <w:tc>
          <w:tcPr>
            <w:tcW w:w="3741" w:type="pct"/>
            <w:gridSpan w:val="8"/>
            <w:shd w:val="clear" w:color="auto" w:fill="FABF8F" w:themeFill="accent6" w:themeFillTint="99"/>
          </w:tcPr>
          <w:p w:rsidR="00E65FBF" w:rsidRPr="00EA1D7F" w:rsidRDefault="00E65FBF" w:rsidP="00041E81"/>
        </w:tc>
      </w:tr>
      <w:tr w:rsidR="00EA1D7F" w:rsidRPr="00EA1D7F" w:rsidTr="00ED7C69">
        <w:trPr>
          <w:trHeight w:val="547"/>
        </w:trPr>
        <w:tc>
          <w:tcPr>
            <w:tcW w:w="1259" w:type="pct"/>
            <w:shd w:val="clear" w:color="auto" w:fill="D9D9D9" w:themeFill="background1" w:themeFillShade="D9"/>
          </w:tcPr>
          <w:p w:rsidR="00E65FBF" w:rsidRPr="00EA1D7F" w:rsidRDefault="00E65FBF" w:rsidP="00041E81">
            <w:r w:rsidRPr="00EA1D7F">
              <w:t xml:space="preserve">Indicador del programa estratégico al que contribuye  </w:t>
            </w:r>
          </w:p>
        </w:tc>
        <w:tc>
          <w:tcPr>
            <w:tcW w:w="3741" w:type="pct"/>
            <w:gridSpan w:val="8"/>
            <w:shd w:val="clear" w:color="auto" w:fill="FABF8F" w:themeFill="accent6" w:themeFillTint="99"/>
          </w:tcPr>
          <w:p w:rsidR="00E65FBF" w:rsidRPr="00EA1D7F" w:rsidRDefault="00E65FBF" w:rsidP="00041E81"/>
        </w:tc>
      </w:tr>
      <w:tr w:rsidR="00EA1D7F" w:rsidRPr="00EA1D7F" w:rsidTr="00EE11F5">
        <w:tc>
          <w:tcPr>
            <w:tcW w:w="1259" w:type="pct"/>
            <w:vMerge w:val="restart"/>
            <w:shd w:val="clear" w:color="auto" w:fill="D9D9D9" w:themeFill="background1" w:themeFillShade="D9"/>
          </w:tcPr>
          <w:p w:rsidR="00E65FBF" w:rsidRPr="00EA1D7F" w:rsidRDefault="00E65FBF" w:rsidP="00041E81">
            <w:r w:rsidRPr="00EA1D7F">
              <w:t xml:space="preserve">Beneficios </w:t>
            </w:r>
          </w:p>
        </w:tc>
        <w:tc>
          <w:tcPr>
            <w:tcW w:w="834" w:type="pct"/>
            <w:gridSpan w:val="2"/>
            <w:shd w:val="clear" w:color="auto" w:fill="D9D9D9" w:themeFill="background1" w:themeFillShade="D9"/>
          </w:tcPr>
          <w:p w:rsidR="00E65FBF" w:rsidRPr="00EA1D7F" w:rsidRDefault="00E65FBF" w:rsidP="00041E81">
            <w:pPr>
              <w:jc w:val="center"/>
            </w:pPr>
            <w:r w:rsidRPr="00EA1D7F">
              <w:t>Corto Plazo</w:t>
            </w:r>
          </w:p>
        </w:tc>
        <w:tc>
          <w:tcPr>
            <w:tcW w:w="1418" w:type="pct"/>
            <w:gridSpan w:val="3"/>
            <w:shd w:val="clear" w:color="auto" w:fill="D9D9D9" w:themeFill="background1" w:themeFillShade="D9"/>
          </w:tcPr>
          <w:p w:rsidR="00E65FBF" w:rsidRPr="00EA1D7F" w:rsidRDefault="00E65FBF" w:rsidP="00041E81">
            <w:pPr>
              <w:jc w:val="center"/>
            </w:pPr>
            <w:r w:rsidRPr="00EA1D7F">
              <w:t>Mediano Plazo</w:t>
            </w:r>
          </w:p>
        </w:tc>
        <w:tc>
          <w:tcPr>
            <w:tcW w:w="1489" w:type="pct"/>
            <w:gridSpan w:val="3"/>
            <w:shd w:val="clear" w:color="auto" w:fill="D9D9D9" w:themeFill="background1" w:themeFillShade="D9"/>
          </w:tcPr>
          <w:p w:rsidR="00E65FBF" w:rsidRPr="00EA1D7F" w:rsidRDefault="00E65FBF" w:rsidP="00041E81">
            <w:pPr>
              <w:jc w:val="center"/>
            </w:pPr>
            <w:r w:rsidRPr="00EA1D7F">
              <w:t>Largo Plazo</w:t>
            </w:r>
          </w:p>
        </w:tc>
      </w:tr>
      <w:tr w:rsidR="00EA1D7F" w:rsidRPr="00EA1D7F" w:rsidTr="00EE11F5">
        <w:tc>
          <w:tcPr>
            <w:tcW w:w="1259" w:type="pct"/>
            <w:vMerge/>
            <w:shd w:val="clear" w:color="auto" w:fill="D9D9D9" w:themeFill="background1" w:themeFillShade="D9"/>
          </w:tcPr>
          <w:p w:rsidR="00E65FBF" w:rsidRPr="00EA1D7F" w:rsidRDefault="00E65FBF" w:rsidP="00041E81">
            <w:pPr>
              <w:jc w:val="center"/>
            </w:pPr>
          </w:p>
        </w:tc>
        <w:tc>
          <w:tcPr>
            <w:tcW w:w="834" w:type="pct"/>
            <w:gridSpan w:val="2"/>
            <w:shd w:val="clear" w:color="auto" w:fill="auto"/>
          </w:tcPr>
          <w:p w:rsidR="00E65FBF" w:rsidRPr="00EA1D7F" w:rsidRDefault="00E65FBF" w:rsidP="00041E81">
            <w:pPr>
              <w:jc w:val="center"/>
            </w:pPr>
          </w:p>
        </w:tc>
        <w:tc>
          <w:tcPr>
            <w:tcW w:w="1418" w:type="pct"/>
            <w:gridSpan w:val="3"/>
            <w:shd w:val="clear" w:color="auto" w:fill="auto"/>
          </w:tcPr>
          <w:p w:rsidR="00E65FBF" w:rsidRPr="00EA1D7F" w:rsidRDefault="00E65FBF" w:rsidP="00521F96">
            <w:pPr>
              <w:jc w:val="center"/>
            </w:pPr>
            <w:r w:rsidRPr="00EA1D7F">
              <w:t>X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E65FBF" w:rsidRPr="00EA1D7F" w:rsidRDefault="00E65FBF" w:rsidP="00041E81">
            <w:pPr>
              <w:jc w:val="center"/>
            </w:pPr>
          </w:p>
        </w:tc>
      </w:tr>
      <w:tr w:rsidR="00EA1D7F" w:rsidRPr="00EA1D7F" w:rsidTr="00ED7C69">
        <w:trPr>
          <w:trHeight w:val="579"/>
        </w:trPr>
        <w:tc>
          <w:tcPr>
            <w:tcW w:w="1259" w:type="pct"/>
            <w:vMerge w:val="restart"/>
            <w:shd w:val="clear" w:color="auto" w:fill="D9D9D9" w:themeFill="background1" w:themeFillShade="D9"/>
          </w:tcPr>
          <w:p w:rsidR="00E65FBF" w:rsidRPr="00EA1D7F" w:rsidRDefault="00E65FBF" w:rsidP="00041E81">
            <w:r w:rsidRPr="00EA1D7F">
              <w:t xml:space="preserve">Nombre del Indicador </w:t>
            </w:r>
          </w:p>
        </w:tc>
        <w:tc>
          <w:tcPr>
            <w:tcW w:w="506" w:type="pct"/>
            <w:shd w:val="clear" w:color="auto" w:fill="A6A6A6" w:themeFill="background1" w:themeFillShade="A6"/>
          </w:tcPr>
          <w:p w:rsidR="00E65FBF" w:rsidRPr="00EA1D7F" w:rsidRDefault="00E65FBF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 xml:space="preserve">Dimensión a medir </w:t>
            </w:r>
          </w:p>
        </w:tc>
        <w:tc>
          <w:tcPr>
            <w:tcW w:w="529" w:type="pct"/>
            <w:gridSpan w:val="2"/>
            <w:vMerge w:val="restart"/>
            <w:shd w:val="clear" w:color="auto" w:fill="D9D9D9" w:themeFill="background1" w:themeFillShade="D9"/>
          </w:tcPr>
          <w:p w:rsidR="00E65FBF" w:rsidRPr="00EA1D7F" w:rsidRDefault="00E65FBF" w:rsidP="00041E81">
            <w:pPr>
              <w:jc w:val="center"/>
            </w:pPr>
            <w:r w:rsidRPr="00EA1D7F">
              <w:t xml:space="preserve">Definición del indicador </w:t>
            </w:r>
          </w:p>
        </w:tc>
        <w:tc>
          <w:tcPr>
            <w:tcW w:w="834" w:type="pct"/>
            <w:vMerge w:val="restart"/>
            <w:shd w:val="clear" w:color="auto" w:fill="D9D9D9" w:themeFill="background1" w:themeFillShade="D9"/>
          </w:tcPr>
          <w:p w:rsidR="00E65FBF" w:rsidRPr="00EA1D7F" w:rsidRDefault="00E65FBF" w:rsidP="00041E81">
            <w:pPr>
              <w:jc w:val="center"/>
            </w:pPr>
            <w:r w:rsidRPr="00EA1D7F">
              <w:t>Método del calculo</w:t>
            </w:r>
          </w:p>
        </w:tc>
        <w:tc>
          <w:tcPr>
            <w:tcW w:w="383" w:type="pct"/>
            <w:vMerge w:val="restart"/>
            <w:shd w:val="clear" w:color="auto" w:fill="A6A6A6" w:themeFill="background1" w:themeFillShade="A6"/>
          </w:tcPr>
          <w:p w:rsidR="00E65FBF" w:rsidRPr="00EA1D7F" w:rsidRDefault="00E65FBF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Unidad de medida</w:t>
            </w:r>
          </w:p>
        </w:tc>
        <w:tc>
          <w:tcPr>
            <w:tcW w:w="449" w:type="pct"/>
            <w:vMerge w:val="restart"/>
            <w:shd w:val="clear" w:color="auto" w:fill="D9D9D9" w:themeFill="background1" w:themeFillShade="D9"/>
          </w:tcPr>
          <w:p w:rsidR="00E65FBF" w:rsidRPr="00EA1D7F" w:rsidRDefault="00E65FBF" w:rsidP="00041E81">
            <w:pPr>
              <w:jc w:val="center"/>
            </w:pPr>
            <w:r w:rsidRPr="00EA1D7F">
              <w:t xml:space="preserve">Frecuencia de medida </w:t>
            </w:r>
          </w:p>
        </w:tc>
        <w:tc>
          <w:tcPr>
            <w:tcW w:w="520" w:type="pct"/>
            <w:vMerge w:val="restart"/>
            <w:shd w:val="clear" w:color="auto" w:fill="D9D9D9" w:themeFill="background1" w:themeFillShade="D9"/>
          </w:tcPr>
          <w:p w:rsidR="00E65FBF" w:rsidRPr="00EA1D7F" w:rsidRDefault="00E65FBF" w:rsidP="00041E81">
            <w:pPr>
              <w:jc w:val="center"/>
            </w:pPr>
            <w:r w:rsidRPr="00EA1D7F">
              <w:t>Línea base</w:t>
            </w:r>
          </w:p>
        </w:tc>
        <w:tc>
          <w:tcPr>
            <w:tcW w:w="520" w:type="pct"/>
            <w:vMerge w:val="restart"/>
            <w:shd w:val="clear" w:color="auto" w:fill="A6A6A6" w:themeFill="background1" w:themeFillShade="A6"/>
          </w:tcPr>
          <w:p w:rsidR="00E65FBF" w:rsidRPr="00EA1D7F" w:rsidRDefault="00E65FBF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Meta programada</w:t>
            </w:r>
          </w:p>
        </w:tc>
      </w:tr>
      <w:tr w:rsidR="00EA1D7F" w:rsidRPr="00EA1D7F" w:rsidTr="00ED7C69">
        <w:trPr>
          <w:trHeight w:val="405"/>
        </w:trPr>
        <w:tc>
          <w:tcPr>
            <w:tcW w:w="1259" w:type="pct"/>
            <w:vMerge/>
            <w:shd w:val="clear" w:color="auto" w:fill="D9D9D9" w:themeFill="background1" w:themeFillShade="D9"/>
          </w:tcPr>
          <w:p w:rsidR="00E65FBF" w:rsidRPr="00EA1D7F" w:rsidRDefault="00E65FBF" w:rsidP="00041E81"/>
        </w:tc>
        <w:tc>
          <w:tcPr>
            <w:tcW w:w="506" w:type="pct"/>
            <w:shd w:val="clear" w:color="auto" w:fill="A6A6A6" w:themeFill="background1" w:themeFillShade="A6"/>
          </w:tcPr>
          <w:p w:rsidR="00E65FBF" w:rsidRPr="00EA1D7F" w:rsidRDefault="00E65FBF" w:rsidP="00901EF2">
            <w:pPr>
              <w:pStyle w:val="Prrafodelista"/>
              <w:numPr>
                <w:ilvl w:val="0"/>
                <w:numId w:val="4"/>
              </w:numPr>
              <w:ind w:left="321"/>
              <w:rPr>
                <w:b/>
                <w:sz w:val="16"/>
                <w:szCs w:val="16"/>
              </w:rPr>
            </w:pPr>
            <w:r w:rsidRPr="00EA1D7F">
              <w:rPr>
                <w:b/>
                <w:sz w:val="16"/>
                <w:szCs w:val="16"/>
              </w:rPr>
              <w:t>Eficacia</w:t>
            </w:r>
          </w:p>
          <w:p w:rsidR="00E65FBF" w:rsidRPr="00EA1D7F" w:rsidRDefault="00E65FBF" w:rsidP="00901EF2">
            <w:pPr>
              <w:pStyle w:val="Prrafodelista"/>
              <w:numPr>
                <w:ilvl w:val="0"/>
                <w:numId w:val="4"/>
              </w:numPr>
              <w:ind w:left="321"/>
              <w:rPr>
                <w:b/>
                <w:sz w:val="16"/>
                <w:szCs w:val="16"/>
              </w:rPr>
            </w:pPr>
            <w:r w:rsidRPr="00EA1D7F">
              <w:rPr>
                <w:b/>
                <w:sz w:val="16"/>
                <w:szCs w:val="16"/>
              </w:rPr>
              <w:t>Eficiencia</w:t>
            </w:r>
          </w:p>
          <w:p w:rsidR="00E65FBF" w:rsidRPr="00EA1D7F" w:rsidRDefault="00E65FBF" w:rsidP="00901EF2">
            <w:pPr>
              <w:pStyle w:val="Prrafodelista"/>
              <w:numPr>
                <w:ilvl w:val="0"/>
                <w:numId w:val="4"/>
              </w:numPr>
              <w:ind w:left="321"/>
              <w:rPr>
                <w:b/>
                <w:sz w:val="16"/>
                <w:szCs w:val="16"/>
              </w:rPr>
            </w:pPr>
            <w:r w:rsidRPr="00EA1D7F">
              <w:rPr>
                <w:b/>
                <w:sz w:val="16"/>
                <w:szCs w:val="16"/>
              </w:rPr>
              <w:t xml:space="preserve">Económica </w:t>
            </w:r>
          </w:p>
          <w:p w:rsidR="00E65FBF" w:rsidRPr="00EA1D7F" w:rsidRDefault="00E65FBF" w:rsidP="00901EF2">
            <w:pPr>
              <w:pStyle w:val="Prrafodelista"/>
              <w:numPr>
                <w:ilvl w:val="0"/>
                <w:numId w:val="4"/>
              </w:numPr>
              <w:ind w:left="321"/>
              <w:rPr>
                <w:b/>
                <w:sz w:val="18"/>
                <w:szCs w:val="18"/>
              </w:rPr>
            </w:pPr>
            <w:r w:rsidRPr="00EA1D7F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29" w:type="pct"/>
            <w:gridSpan w:val="2"/>
            <w:vMerge/>
            <w:shd w:val="clear" w:color="auto" w:fill="D9D9D9" w:themeFill="background1" w:themeFillShade="D9"/>
          </w:tcPr>
          <w:p w:rsidR="00E65FBF" w:rsidRPr="00EA1D7F" w:rsidRDefault="00E65FBF" w:rsidP="00041E81">
            <w:pPr>
              <w:jc w:val="center"/>
            </w:pPr>
          </w:p>
        </w:tc>
        <w:tc>
          <w:tcPr>
            <w:tcW w:w="834" w:type="pct"/>
            <w:vMerge/>
            <w:shd w:val="clear" w:color="auto" w:fill="D9D9D9" w:themeFill="background1" w:themeFillShade="D9"/>
          </w:tcPr>
          <w:p w:rsidR="00E65FBF" w:rsidRPr="00EA1D7F" w:rsidRDefault="00E65FBF" w:rsidP="00041E81">
            <w:pPr>
              <w:jc w:val="center"/>
            </w:pPr>
          </w:p>
        </w:tc>
        <w:tc>
          <w:tcPr>
            <w:tcW w:w="383" w:type="pct"/>
            <w:vMerge/>
            <w:shd w:val="clear" w:color="auto" w:fill="A6A6A6" w:themeFill="background1" w:themeFillShade="A6"/>
          </w:tcPr>
          <w:p w:rsidR="00E65FBF" w:rsidRPr="00EA1D7F" w:rsidRDefault="00E65FBF" w:rsidP="00041E81">
            <w:pPr>
              <w:jc w:val="center"/>
            </w:pPr>
          </w:p>
        </w:tc>
        <w:tc>
          <w:tcPr>
            <w:tcW w:w="449" w:type="pct"/>
            <w:vMerge/>
            <w:shd w:val="clear" w:color="auto" w:fill="D9D9D9" w:themeFill="background1" w:themeFillShade="D9"/>
          </w:tcPr>
          <w:p w:rsidR="00E65FBF" w:rsidRPr="00EA1D7F" w:rsidRDefault="00E65FBF" w:rsidP="00041E81">
            <w:pPr>
              <w:jc w:val="center"/>
            </w:pPr>
          </w:p>
        </w:tc>
        <w:tc>
          <w:tcPr>
            <w:tcW w:w="520" w:type="pct"/>
            <w:vMerge/>
            <w:shd w:val="clear" w:color="auto" w:fill="D9D9D9" w:themeFill="background1" w:themeFillShade="D9"/>
          </w:tcPr>
          <w:p w:rsidR="00E65FBF" w:rsidRPr="00EA1D7F" w:rsidRDefault="00E65FBF" w:rsidP="00041E81">
            <w:pPr>
              <w:jc w:val="center"/>
            </w:pPr>
          </w:p>
        </w:tc>
        <w:tc>
          <w:tcPr>
            <w:tcW w:w="520" w:type="pct"/>
            <w:vMerge/>
            <w:shd w:val="clear" w:color="auto" w:fill="A6A6A6" w:themeFill="background1" w:themeFillShade="A6"/>
          </w:tcPr>
          <w:p w:rsidR="00E65FBF" w:rsidRPr="00EA1D7F" w:rsidRDefault="00E65FBF" w:rsidP="00041E81">
            <w:pPr>
              <w:jc w:val="center"/>
            </w:pPr>
          </w:p>
        </w:tc>
      </w:tr>
      <w:tr w:rsidR="00EA1D7F" w:rsidRPr="00EA1D7F" w:rsidTr="00ED7C69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EA1D7F" w:rsidRDefault="00ED7C69" w:rsidP="00ED7C69">
            <w:pPr>
              <w:jc w:val="center"/>
              <w:rPr>
                <w:rFonts w:eastAsia="Times New Roman" w:cs="Calibri"/>
              </w:rPr>
            </w:pPr>
            <w:r w:rsidRPr="00EA1D7F">
              <w:rPr>
                <w:rFonts w:eastAsia="Times New Roman" w:cs="Calibri"/>
              </w:rPr>
              <w:t>Acuerdo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EA1D7F" w:rsidRDefault="00ED7C69" w:rsidP="00ED7C69">
            <w:pPr>
              <w:jc w:val="center"/>
              <w:rPr>
                <w:rFonts w:cs="Calibri"/>
              </w:rPr>
            </w:pPr>
            <w:r w:rsidRPr="00EA1D7F">
              <w:rPr>
                <w:rFonts w:cs="Calibri"/>
              </w:rPr>
              <w:t>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EA1D7F" w:rsidRDefault="00ED7C69" w:rsidP="00ED7C69">
            <w:pPr>
              <w:rPr>
                <w:rFonts w:cs="Calibri"/>
                <w:sz w:val="20"/>
                <w:szCs w:val="20"/>
              </w:rPr>
            </w:pPr>
            <w:r w:rsidRPr="00EA1D7F">
              <w:rPr>
                <w:rFonts w:eastAsia="Times New Roman" w:cs="Calibri"/>
                <w:sz w:val="20"/>
                <w:szCs w:val="20"/>
              </w:rPr>
              <w:t>Acuerdo celebrado para homologación de funciones con la Procuraduría Social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EA1D7F" w:rsidRDefault="00ED7C69" w:rsidP="00ED7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Número de </w:t>
            </w:r>
            <w:r w:rsidRPr="00EA1D7F">
              <w:rPr>
                <w:rFonts w:eastAsia="Times New Roman" w:cs="Calibri"/>
                <w:sz w:val="20"/>
                <w:szCs w:val="20"/>
              </w:rPr>
              <w:t>Acuerdos celebrados para homologación de funciones con la Procuraduría Social</w:t>
            </w:r>
            <w:r w:rsidRPr="00EA1D7F">
              <w:rPr>
                <w:rFonts w:cs="Calibri"/>
                <w:sz w:val="18"/>
                <w:szCs w:val="18"/>
              </w:rPr>
              <w:t xml:space="preserve"> realizados</w:t>
            </w: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Número de </w:t>
            </w:r>
            <w:r w:rsidRPr="00EA1D7F">
              <w:rPr>
                <w:rFonts w:eastAsia="Times New Roman" w:cs="Calibri"/>
                <w:sz w:val="20"/>
                <w:szCs w:val="20"/>
              </w:rPr>
              <w:t>Acuerdos celebrados para homologación de funciones con la Procuraduría Social</w:t>
            </w:r>
            <w:r w:rsidRPr="00EA1D7F">
              <w:rPr>
                <w:rFonts w:cs="Calibri"/>
                <w:sz w:val="18"/>
                <w:szCs w:val="18"/>
              </w:rPr>
              <w:t xml:space="preserve"> realizados</w:t>
            </w: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  en el año 2018/100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EA1D7F" w:rsidRDefault="00ED7C69" w:rsidP="00ED7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1D7F">
              <w:rPr>
                <w:rFonts w:ascii="Calibri" w:hAnsi="Calibri" w:cs="Calibri"/>
                <w:sz w:val="18"/>
                <w:szCs w:val="18"/>
              </w:rPr>
              <w:t>Porcentaje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EA1D7F" w:rsidRDefault="00ED7C69" w:rsidP="00ED7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D7F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EA1D7F" w:rsidRDefault="00ED7C69" w:rsidP="00ED7C69">
            <w:pPr>
              <w:jc w:val="center"/>
              <w:rPr>
                <w:rFonts w:ascii="Calibri" w:hAnsi="Calibri" w:cs="Calibri"/>
              </w:rPr>
            </w:pPr>
            <w:r w:rsidRPr="00EA1D7F">
              <w:rPr>
                <w:rFonts w:eastAsia="Times New Roman" w:cs="Calibri"/>
                <w:sz w:val="20"/>
                <w:szCs w:val="20"/>
              </w:rPr>
              <w:t>0 Acuerdos celebrados para homologación de funciones con la Procuraduría Social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EA1D7F" w:rsidRDefault="00ED7C69" w:rsidP="00ED7C69">
            <w:pPr>
              <w:jc w:val="center"/>
              <w:rPr>
                <w:rFonts w:ascii="Calibri" w:hAnsi="Calibri" w:cs="Calibri"/>
              </w:rPr>
            </w:pPr>
            <w:r w:rsidRPr="00EA1D7F">
              <w:rPr>
                <w:rFonts w:eastAsia="Times New Roman" w:cs="Calibri"/>
                <w:sz w:val="20"/>
                <w:szCs w:val="20"/>
              </w:rPr>
              <w:t>1 Acuerdo celebrado para homologación de funciones con la Procuraduría Social</w:t>
            </w:r>
          </w:p>
        </w:tc>
      </w:tr>
      <w:tr w:rsidR="00EA1D7F" w:rsidRPr="00EA1D7F" w:rsidTr="00ED7C69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AC" w:rsidRPr="00EA1D7F" w:rsidRDefault="00DE63AC" w:rsidP="00DE63AC">
            <w:pPr>
              <w:jc w:val="center"/>
              <w:rPr>
                <w:rFonts w:eastAsia="Times New Roman" w:cs="Calibri"/>
              </w:rPr>
            </w:pPr>
            <w:r w:rsidRPr="00EA1D7F">
              <w:rPr>
                <w:rFonts w:eastAsia="Times New Roman" w:cs="Calibri"/>
              </w:rPr>
              <w:lastRenderedPageBreak/>
              <w:t>Demanda de Servicios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AC" w:rsidRPr="00EA1D7F" w:rsidRDefault="00DE63AC" w:rsidP="00DE63AC">
            <w:pPr>
              <w:jc w:val="center"/>
              <w:rPr>
                <w:rFonts w:cs="Calibri"/>
              </w:rPr>
            </w:pPr>
            <w:r w:rsidRPr="00EA1D7F">
              <w:rPr>
                <w:rFonts w:cs="Calibri"/>
              </w:rPr>
              <w:t>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AC" w:rsidRPr="00EA1D7F" w:rsidRDefault="00DE63AC" w:rsidP="00DE63AC">
            <w:pPr>
              <w:rPr>
                <w:rFonts w:cs="Calibri"/>
                <w:sz w:val="20"/>
                <w:szCs w:val="20"/>
              </w:rPr>
            </w:pPr>
            <w:r w:rsidRPr="00EA1D7F">
              <w:rPr>
                <w:rFonts w:cs="Calibri"/>
                <w:sz w:val="20"/>
                <w:szCs w:val="20"/>
              </w:rPr>
              <w:t>Demanda de Servicios en materia civil y familiar registrada en bitácora.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AC" w:rsidRPr="00EA1D7F" w:rsidRDefault="00DE63AC" w:rsidP="00DE63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Número de </w:t>
            </w:r>
            <w:r w:rsidRPr="00EA1D7F">
              <w:rPr>
                <w:rFonts w:cs="Calibri"/>
                <w:sz w:val="18"/>
                <w:szCs w:val="18"/>
              </w:rPr>
              <w:t>Demanda de Servicios en materia civil y familiar registrada en bitácora</w:t>
            </w: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Número de </w:t>
            </w:r>
            <w:r w:rsidRPr="00EA1D7F">
              <w:rPr>
                <w:rFonts w:cs="Calibri"/>
                <w:sz w:val="18"/>
                <w:szCs w:val="18"/>
              </w:rPr>
              <w:t>Demanda de Servicios en materia civil y familiar registrada en bitácora</w:t>
            </w: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2018/100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AC" w:rsidRPr="00EA1D7F" w:rsidRDefault="00DE63AC" w:rsidP="00DE63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1D7F">
              <w:rPr>
                <w:rFonts w:ascii="Calibri" w:hAnsi="Calibri" w:cs="Calibri"/>
                <w:sz w:val="18"/>
                <w:szCs w:val="18"/>
              </w:rPr>
              <w:t>Porcentaje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AC" w:rsidRPr="00EA1D7F" w:rsidRDefault="00DE63AC" w:rsidP="00DE6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D7F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AC" w:rsidRPr="00EA1D7F" w:rsidRDefault="00DE63AC" w:rsidP="00DE63AC">
            <w:pPr>
              <w:jc w:val="center"/>
              <w:rPr>
                <w:rFonts w:ascii="Calibri" w:hAnsi="Calibri" w:cs="Calibri"/>
              </w:rPr>
            </w:pPr>
            <w:r w:rsidRPr="00EA1D7F">
              <w:rPr>
                <w:rFonts w:eastAsia="Times New Roman" w:cs="Calibri"/>
                <w:sz w:val="20"/>
                <w:szCs w:val="20"/>
              </w:rPr>
              <w:t xml:space="preserve">120 </w:t>
            </w:r>
            <w:r w:rsidRPr="00EA1D7F">
              <w:rPr>
                <w:rFonts w:cs="Calibri"/>
                <w:sz w:val="18"/>
                <w:szCs w:val="18"/>
              </w:rPr>
              <w:t>Demanda de Servicios en materia civil y familiar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AC" w:rsidRPr="00EA1D7F" w:rsidRDefault="00DE63AC" w:rsidP="00DE63AC">
            <w:pPr>
              <w:jc w:val="center"/>
              <w:rPr>
                <w:rFonts w:ascii="Calibri" w:hAnsi="Calibri" w:cs="Calibri"/>
              </w:rPr>
            </w:pPr>
            <w:r w:rsidRPr="00EA1D7F">
              <w:rPr>
                <w:rFonts w:eastAsia="Times New Roman" w:cs="Calibri"/>
                <w:sz w:val="20"/>
                <w:szCs w:val="20"/>
              </w:rPr>
              <w:t xml:space="preserve">240 </w:t>
            </w:r>
            <w:r w:rsidRPr="00EA1D7F">
              <w:rPr>
                <w:rFonts w:cs="Calibri"/>
                <w:sz w:val="18"/>
                <w:szCs w:val="18"/>
              </w:rPr>
              <w:t>Demanda de Servicios en materia civil y familiar</w:t>
            </w:r>
          </w:p>
        </w:tc>
      </w:tr>
      <w:tr w:rsidR="00EA1D7F" w:rsidRPr="00EA1D7F" w:rsidTr="00ED7C69">
        <w:tc>
          <w:tcPr>
            <w:tcW w:w="2294" w:type="pct"/>
            <w:gridSpan w:val="4"/>
            <w:shd w:val="clear" w:color="auto" w:fill="D9D9D9" w:themeFill="background1" w:themeFillShade="D9"/>
          </w:tcPr>
          <w:p w:rsidR="00DE63AC" w:rsidRPr="00EA1D7F" w:rsidRDefault="00DE63AC" w:rsidP="00DE63AC">
            <w:r w:rsidRPr="00EA1D7F">
              <w:t>Clave presupuestal determinada para seguimiento del gasto.</w:t>
            </w:r>
          </w:p>
        </w:tc>
        <w:tc>
          <w:tcPr>
            <w:tcW w:w="2706" w:type="pct"/>
            <w:gridSpan w:val="5"/>
            <w:shd w:val="clear" w:color="auto" w:fill="FABF8F" w:themeFill="accent6" w:themeFillTint="99"/>
          </w:tcPr>
          <w:p w:rsidR="00DE63AC" w:rsidRPr="00EA1D7F" w:rsidRDefault="00DE63AC" w:rsidP="00DE63AC"/>
        </w:tc>
      </w:tr>
    </w:tbl>
    <w:p w:rsidR="00D31E40" w:rsidRPr="00EA1D7F" w:rsidRDefault="00D31E40" w:rsidP="00D31E40"/>
    <w:p w:rsidR="00D31E40" w:rsidRPr="00EA1D7F" w:rsidRDefault="00D31E40" w:rsidP="00D31E40"/>
    <w:p w:rsidR="00D31E40" w:rsidRPr="00EA1D7F" w:rsidRDefault="00D31E40" w:rsidP="00D31E40"/>
    <w:p w:rsidR="00D31E40" w:rsidRPr="00EA1D7F" w:rsidRDefault="00D31E40" w:rsidP="00D31E40">
      <w:pPr>
        <w:rPr>
          <w:b/>
          <w:sz w:val="40"/>
          <w:szCs w:val="40"/>
        </w:rPr>
      </w:pPr>
      <w:r w:rsidRPr="00EA1D7F">
        <w:rPr>
          <w:b/>
          <w:sz w:val="40"/>
          <w:szCs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EA1D7F" w:rsidRPr="00EA1D7F" w:rsidTr="00041E8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Cronograma Anual  de Actividades</w:t>
            </w:r>
          </w:p>
        </w:tc>
      </w:tr>
      <w:tr w:rsidR="00EA1D7F" w:rsidRPr="00EA1D7F" w:rsidTr="00041E81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D31E40" w:rsidRPr="00EA1D7F" w:rsidRDefault="00D31E40" w:rsidP="00041E81">
            <w:pPr>
              <w:rPr>
                <w:b/>
              </w:rPr>
            </w:pPr>
            <w:r w:rsidRPr="00EA1D7F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 xml:space="preserve">2018 </w:t>
            </w:r>
            <w:r w:rsidR="00F7225E" w:rsidRPr="00EA1D7F">
              <w:rPr>
                <w:b/>
              </w:rPr>
              <w:t>–</w:t>
            </w:r>
            <w:r w:rsidRPr="00EA1D7F">
              <w:rPr>
                <w:b/>
              </w:rPr>
              <w:t xml:space="preserve"> 2019</w:t>
            </w:r>
          </w:p>
        </w:tc>
      </w:tr>
      <w:tr w:rsidR="00EA1D7F" w:rsidRPr="00EA1D7F" w:rsidTr="00041E81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D31E40" w:rsidRPr="00EA1D7F" w:rsidRDefault="00D31E40" w:rsidP="00041E8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SEP</w:t>
            </w:r>
          </w:p>
        </w:tc>
      </w:tr>
      <w:tr w:rsidR="00EA1D7F" w:rsidRPr="00EA1D7F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EF0828" w:rsidRPr="00EA1D7F" w:rsidRDefault="00EF0828" w:rsidP="00EF0828">
            <w:pPr>
              <w:spacing w:line="256" w:lineRule="auto"/>
              <w:jc w:val="both"/>
              <w:rPr>
                <w:rFonts w:cstheme="minorHAnsi"/>
              </w:rPr>
            </w:pPr>
            <w:r w:rsidRPr="00EA1D7F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EF0828" w:rsidRPr="00EA1D7F" w:rsidRDefault="00EF0828" w:rsidP="00EF0828">
            <w:pPr>
              <w:jc w:val="center"/>
              <w:rPr>
                <w:sz w:val="20"/>
              </w:rPr>
            </w:pPr>
            <w:r w:rsidRPr="00EA1D7F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F0828" w:rsidRPr="00EA1D7F" w:rsidRDefault="00EF0828" w:rsidP="00EF0828">
            <w:pPr>
              <w:jc w:val="center"/>
              <w:rPr>
                <w:sz w:val="20"/>
              </w:rPr>
            </w:pPr>
            <w:r w:rsidRPr="00EA1D7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F0828" w:rsidRPr="00EA1D7F" w:rsidRDefault="00EF0828" w:rsidP="00EF0828">
            <w:pPr>
              <w:jc w:val="center"/>
              <w:rPr>
                <w:sz w:val="20"/>
              </w:rPr>
            </w:pPr>
            <w:r w:rsidRPr="00EA1D7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</w:tr>
      <w:tr w:rsidR="00EA1D7F" w:rsidRPr="00EA1D7F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EF0828" w:rsidRPr="00EA1D7F" w:rsidRDefault="00EF0828" w:rsidP="00EF0828">
            <w:r w:rsidRPr="00EA1D7F">
              <w:t>Reuniones de acuerdo con el Procurador Social en el Estado de Jalisco.</w:t>
            </w:r>
          </w:p>
        </w:tc>
        <w:tc>
          <w:tcPr>
            <w:tcW w:w="259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EF0828" w:rsidRPr="00EA1D7F" w:rsidRDefault="00EF0828" w:rsidP="00EF0828">
            <w:r w:rsidRPr="00EA1D7F">
              <w:t>X</w:t>
            </w: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  <w:r w:rsidRPr="00EA1D7F">
              <w:t>X</w:t>
            </w: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  <w:r w:rsidRPr="00EA1D7F">
              <w:t>X</w:t>
            </w: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</w:tr>
      <w:tr w:rsidR="00EA1D7F" w:rsidRPr="00EA1D7F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EF0828" w:rsidRPr="00EA1D7F" w:rsidRDefault="00EF249D" w:rsidP="00EF0828">
            <w:pPr>
              <w:jc w:val="both"/>
            </w:pPr>
            <w:r w:rsidRPr="00EA1D7F">
              <w:t>Orientación J</w:t>
            </w:r>
            <w:r w:rsidR="00EF0828" w:rsidRPr="00EA1D7F">
              <w:t>urídica.</w:t>
            </w:r>
          </w:p>
        </w:tc>
        <w:tc>
          <w:tcPr>
            <w:tcW w:w="259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  <w:r w:rsidRPr="00EA1D7F">
              <w:t>X</w:t>
            </w:r>
          </w:p>
        </w:tc>
        <w:tc>
          <w:tcPr>
            <w:tcW w:w="248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  <w:r w:rsidRPr="00EA1D7F">
              <w:t>X</w:t>
            </w:r>
          </w:p>
        </w:tc>
        <w:tc>
          <w:tcPr>
            <w:tcW w:w="266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  <w:r w:rsidRPr="00EA1D7F">
              <w:t>X</w:t>
            </w: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  <w:r w:rsidRPr="00EA1D7F">
              <w:t>X</w:t>
            </w: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  <w:r w:rsidRPr="00EA1D7F">
              <w:t>X</w:t>
            </w: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  <w:r w:rsidRPr="00EA1D7F">
              <w:t>X</w:t>
            </w: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  <w:r w:rsidRPr="00EA1D7F">
              <w:t>X</w:t>
            </w:r>
          </w:p>
        </w:tc>
        <w:tc>
          <w:tcPr>
            <w:tcW w:w="274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  <w:r w:rsidRPr="00EA1D7F">
              <w:t>X</w:t>
            </w:r>
          </w:p>
        </w:tc>
        <w:tc>
          <w:tcPr>
            <w:tcW w:w="279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  <w:r w:rsidRPr="00EA1D7F">
              <w:t>X</w:t>
            </w:r>
          </w:p>
        </w:tc>
        <w:tc>
          <w:tcPr>
            <w:tcW w:w="266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  <w:r w:rsidRPr="00EA1D7F">
              <w:t>X</w:t>
            </w:r>
          </w:p>
        </w:tc>
        <w:tc>
          <w:tcPr>
            <w:tcW w:w="248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  <w:r w:rsidRPr="00EA1D7F">
              <w:t>X</w:t>
            </w:r>
          </w:p>
        </w:tc>
        <w:tc>
          <w:tcPr>
            <w:tcW w:w="252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  <w:r w:rsidRPr="00EA1D7F">
              <w:t>X</w:t>
            </w:r>
          </w:p>
        </w:tc>
      </w:tr>
      <w:tr w:rsidR="003E2B1E" w:rsidRPr="00EA1D7F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B700A7" w:rsidRPr="00EA1D7F" w:rsidRDefault="00B700A7" w:rsidP="00B700A7">
            <w:pPr>
              <w:jc w:val="both"/>
              <w:rPr>
                <w:rFonts w:cstheme="minorHAnsi"/>
                <w:shd w:val="clear" w:color="auto" w:fill="FFFFFF"/>
              </w:rPr>
            </w:pPr>
            <w:r w:rsidRPr="00EA1D7F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  <w:r w:rsidRPr="00EA1D7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700A7" w:rsidRPr="00EA1D7F" w:rsidRDefault="00B700A7" w:rsidP="00B700A7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  <w:r w:rsidRPr="00EA1D7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  <w:r w:rsidRPr="00EA1D7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  <w:r w:rsidRPr="00EA1D7F">
              <w:rPr>
                <w:sz w:val="20"/>
              </w:rPr>
              <w:t>X</w:t>
            </w:r>
          </w:p>
        </w:tc>
      </w:tr>
    </w:tbl>
    <w:p w:rsidR="00D31E40" w:rsidRPr="00EA1D7F" w:rsidRDefault="00D31E40" w:rsidP="00D31E40">
      <w:pPr>
        <w:rPr>
          <w:i/>
        </w:rPr>
      </w:pPr>
    </w:p>
    <w:sectPr w:rsidR="00D31E40" w:rsidRPr="00EA1D7F" w:rsidSect="00041E81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96" w:rsidRDefault="00C00596" w:rsidP="00985B24">
      <w:pPr>
        <w:spacing w:after="0" w:line="240" w:lineRule="auto"/>
      </w:pPr>
      <w:r>
        <w:separator/>
      </w:r>
    </w:p>
  </w:endnote>
  <w:endnote w:type="continuationSeparator" w:id="0">
    <w:p w:rsidR="00C00596" w:rsidRDefault="00C0059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96" w:rsidRDefault="00C00596" w:rsidP="00985B24">
      <w:pPr>
        <w:spacing w:after="0" w:line="240" w:lineRule="auto"/>
      </w:pPr>
      <w:r>
        <w:separator/>
      </w:r>
    </w:p>
  </w:footnote>
  <w:footnote w:type="continuationSeparator" w:id="0">
    <w:p w:rsidR="00C00596" w:rsidRDefault="00C0059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96" w:rsidRDefault="00C00596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C00596" w:rsidRPr="00A53525" w:rsidTr="00041E81">
      <w:trPr>
        <w:trHeight w:val="841"/>
      </w:trPr>
      <w:tc>
        <w:tcPr>
          <w:tcW w:w="1651" w:type="dxa"/>
        </w:tcPr>
        <w:p w:rsidR="00C00596" w:rsidRPr="00A53525" w:rsidRDefault="00C0059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C00596" w:rsidRPr="00A53525" w:rsidRDefault="00C0059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C00596" w:rsidRPr="00A53525" w:rsidRDefault="00C0059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C00596" w:rsidRPr="005D6B0E" w:rsidRDefault="00C0059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C00596" w:rsidRDefault="00C0059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C00596" w:rsidRPr="00A53525" w:rsidRDefault="00C0059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C00596" w:rsidRDefault="00C00596">
    <w:pPr>
      <w:pStyle w:val="Encabezado"/>
    </w:pPr>
  </w:p>
  <w:p w:rsidR="00C00596" w:rsidRDefault="00C005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3ED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2434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C658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D20B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0EC5"/>
    <w:rsid w:val="00000ED3"/>
    <w:rsid w:val="000014AF"/>
    <w:rsid w:val="000120AE"/>
    <w:rsid w:val="000146C0"/>
    <w:rsid w:val="00031BE1"/>
    <w:rsid w:val="00041E81"/>
    <w:rsid w:val="00055E9C"/>
    <w:rsid w:val="00061287"/>
    <w:rsid w:val="00064315"/>
    <w:rsid w:val="00071F00"/>
    <w:rsid w:val="000843BC"/>
    <w:rsid w:val="0009181F"/>
    <w:rsid w:val="00094C52"/>
    <w:rsid w:val="000C25D4"/>
    <w:rsid w:val="000D401A"/>
    <w:rsid w:val="000E161C"/>
    <w:rsid w:val="000E3B46"/>
    <w:rsid w:val="00101397"/>
    <w:rsid w:val="00102227"/>
    <w:rsid w:val="00113A41"/>
    <w:rsid w:val="001166BF"/>
    <w:rsid w:val="001324C2"/>
    <w:rsid w:val="00144C96"/>
    <w:rsid w:val="001473C9"/>
    <w:rsid w:val="00165E9D"/>
    <w:rsid w:val="00165EFA"/>
    <w:rsid w:val="00166AF0"/>
    <w:rsid w:val="00177C17"/>
    <w:rsid w:val="00185E28"/>
    <w:rsid w:val="001A597F"/>
    <w:rsid w:val="001E1F59"/>
    <w:rsid w:val="001E5363"/>
    <w:rsid w:val="001F0AC4"/>
    <w:rsid w:val="00201B8A"/>
    <w:rsid w:val="00203C3D"/>
    <w:rsid w:val="002103FC"/>
    <w:rsid w:val="00210AE0"/>
    <w:rsid w:val="00232782"/>
    <w:rsid w:val="00232F5C"/>
    <w:rsid w:val="00233105"/>
    <w:rsid w:val="00237785"/>
    <w:rsid w:val="00240650"/>
    <w:rsid w:val="00243814"/>
    <w:rsid w:val="0024680E"/>
    <w:rsid w:val="00246BF8"/>
    <w:rsid w:val="002663FB"/>
    <w:rsid w:val="00266EBD"/>
    <w:rsid w:val="00267ECB"/>
    <w:rsid w:val="00275317"/>
    <w:rsid w:val="002877E5"/>
    <w:rsid w:val="002A08FA"/>
    <w:rsid w:val="002A2326"/>
    <w:rsid w:val="002B493A"/>
    <w:rsid w:val="002D165E"/>
    <w:rsid w:val="002D7443"/>
    <w:rsid w:val="002F08F4"/>
    <w:rsid w:val="002F74E6"/>
    <w:rsid w:val="00300550"/>
    <w:rsid w:val="00303945"/>
    <w:rsid w:val="00335B29"/>
    <w:rsid w:val="00340EC8"/>
    <w:rsid w:val="003520C5"/>
    <w:rsid w:val="0035708D"/>
    <w:rsid w:val="00357126"/>
    <w:rsid w:val="0036211C"/>
    <w:rsid w:val="0037594E"/>
    <w:rsid w:val="003852E4"/>
    <w:rsid w:val="00386780"/>
    <w:rsid w:val="003A0807"/>
    <w:rsid w:val="003B1351"/>
    <w:rsid w:val="003B6A73"/>
    <w:rsid w:val="003D256E"/>
    <w:rsid w:val="003E2B1E"/>
    <w:rsid w:val="003E36FF"/>
    <w:rsid w:val="00403456"/>
    <w:rsid w:val="00412146"/>
    <w:rsid w:val="0042458B"/>
    <w:rsid w:val="00442FBE"/>
    <w:rsid w:val="00443987"/>
    <w:rsid w:val="00447F3F"/>
    <w:rsid w:val="0045222D"/>
    <w:rsid w:val="004661B4"/>
    <w:rsid w:val="0046778F"/>
    <w:rsid w:val="00470384"/>
    <w:rsid w:val="004868A0"/>
    <w:rsid w:val="004900B4"/>
    <w:rsid w:val="00493099"/>
    <w:rsid w:val="00497861"/>
    <w:rsid w:val="004A57D8"/>
    <w:rsid w:val="004E39B9"/>
    <w:rsid w:val="004E74CA"/>
    <w:rsid w:val="004F46BD"/>
    <w:rsid w:val="005014C2"/>
    <w:rsid w:val="00501FBC"/>
    <w:rsid w:val="0050648D"/>
    <w:rsid w:val="00521F96"/>
    <w:rsid w:val="0052402A"/>
    <w:rsid w:val="0053056A"/>
    <w:rsid w:val="00560F91"/>
    <w:rsid w:val="0056287D"/>
    <w:rsid w:val="005676F1"/>
    <w:rsid w:val="0057477E"/>
    <w:rsid w:val="0058179F"/>
    <w:rsid w:val="005868E1"/>
    <w:rsid w:val="00594E19"/>
    <w:rsid w:val="0059529B"/>
    <w:rsid w:val="005B3431"/>
    <w:rsid w:val="005C50F9"/>
    <w:rsid w:val="005D2D90"/>
    <w:rsid w:val="005E4B97"/>
    <w:rsid w:val="005E5FC1"/>
    <w:rsid w:val="005F6BB1"/>
    <w:rsid w:val="00613CE2"/>
    <w:rsid w:val="00647F16"/>
    <w:rsid w:val="00655963"/>
    <w:rsid w:val="006560DD"/>
    <w:rsid w:val="00665AED"/>
    <w:rsid w:val="00670362"/>
    <w:rsid w:val="00681E48"/>
    <w:rsid w:val="00682AFC"/>
    <w:rsid w:val="00684D0F"/>
    <w:rsid w:val="0069594E"/>
    <w:rsid w:val="006A1C79"/>
    <w:rsid w:val="006A6388"/>
    <w:rsid w:val="006D0FFB"/>
    <w:rsid w:val="006D52BF"/>
    <w:rsid w:val="006D6E8F"/>
    <w:rsid w:val="006E1BBF"/>
    <w:rsid w:val="006E3341"/>
    <w:rsid w:val="006F0F06"/>
    <w:rsid w:val="006F1642"/>
    <w:rsid w:val="006F6A1E"/>
    <w:rsid w:val="007206CD"/>
    <w:rsid w:val="00725853"/>
    <w:rsid w:val="0073521E"/>
    <w:rsid w:val="0075115E"/>
    <w:rsid w:val="00754B13"/>
    <w:rsid w:val="00762F7D"/>
    <w:rsid w:val="0076351F"/>
    <w:rsid w:val="007D3B70"/>
    <w:rsid w:val="007D52CA"/>
    <w:rsid w:val="007F05BD"/>
    <w:rsid w:val="008207C2"/>
    <w:rsid w:val="00823DAD"/>
    <w:rsid w:val="00826551"/>
    <w:rsid w:val="008333A7"/>
    <w:rsid w:val="00850699"/>
    <w:rsid w:val="00855EC7"/>
    <w:rsid w:val="008818A8"/>
    <w:rsid w:val="008824CC"/>
    <w:rsid w:val="00892A51"/>
    <w:rsid w:val="008A3650"/>
    <w:rsid w:val="008B4EB9"/>
    <w:rsid w:val="008D1A5F"/>
    <w:rsid w:val="008F4B37"/>
    <w:rsid w:val="008F5245"/>
    <w:rsid w:val="00901EF2"/>
    <w:rsid w:val="00905FF9"/>
    <w:rsid w:val="0091120A"/>
    <w:rsid w:val="009232E0"/>
    <w:rsid w:val="00923F12"/>
    <w:rsid w:val="0093071D"/>
    <w:rsid w:val="0094178A"/>
    <w:rsid w:val="00945684"/>
    <w:rsid w:val="00946132"/>
    <w:rsid w:val="00946B9B"/>
    <w:rsid w:val="00966F41"/>
    <w:rsid w:val="00980F43"/>
    <w:rsid w:val="00985B24"/>
    <w:rsid w:val="009B09E4"/>
    <w:rsid w:val="009B23B5"/>
    <w:rsid w:val="009B3E53"/>
    <w:rsid w:val="00A03A53"/>
    <w:rsid w:val="00A344B6"/>
    <w:rsid w:val="00A538E0"/>
    <w:rsid w:val="00A56F4D"/>
    <w:rsid w:val="00A624F2"/>
    <w:rsid w:val="00A65BAF"/>
    <w:rsid w:val="00A66875"/>
    <w:rsid w:val="00A67619"/>
    <w:rsid w:val="00A778C0"/>
    <w:rsid w:val="00A80D75"/>
    <w:rsid w:val="00A97248"/>
    <w:rsid w:val="00A97E08"/>
    <w:rsid w:val="00AA22B4"/>
    <w:rsid w:val="00AB54EF"/>
    <w:rsid w:val="00AC59DF"/>
    <w:rsid w:val="00AD6073"/>
    <w:rsid w:val="00AE0F43"/>
    <w:rsid w:val="00AE2000"/>
    <w:rsid w:val="00AE624B"/>
    <w:rsid w:val="00AF78B2"/>
    <w:rsid w:val="00B00FAA"/>
    <w:rsid w:val="00B04B72"/>
    <w:rsid w:val="00B06D24"/>
    <w:rsid w:val="00B15ABE"/>
    <w:rsid w:val="00B30340"/>
    <w:rsid w:val="00B3346E"/>
    <w:rsid w:val="00B3787E"/>
    <w:rsid w:val="00B452AC"/>
    <w:rsid w:val="00B64EE1"/>
    <w:rsid w:val="00B6790C"/>
    <w:rsid w:val="00B700A7"/>
    <w:rsid w:val="00B857C0"/>
    <w:rsid w:val="00B86429"/>
    <w:rsid w:val="00B91976"/>
    <w:rsid w:val="00BA277D"/>
    <w:rsid w:val="00BA3EE3"/>
    <w:rsid w:val="00BE2732"/>
    <w:rsid w:val="00BE5DC2"/>
    <w:rsid w:val="00BF4EAD"/>
    <w:rsid w:val="00C00596"/>
    <w:rsid w:val="00C0353D"/>
    <w:rsid w:val="00C30107"/>
    <w:rsid w:val="00C3660A"/>
    <w:rsid w:val="00C371DC"/>
    <w:rsid w:val="00C4194F"/>
    <w:rsid w:val="00C42697"/>
    <w:rsid w:val="00C479E4"/>
    <w:rsid w:val="00C534DF"/>
    <w:rsid w:val="00C64AE2"/>
    <w:rsid w:val="00C73520"/>
    <w:rsid w:val="00CB5AE0"/>
    <w:rsid w:val="00CB620A"/>
    <w:rsid w:val="00CC6952"/>
    <w:rsid w:val="00CD7483"/>
    <w:rsid w:val="00CE658C"/>
    <w:rsid w:val="00CE6D05"/>
    <w:rsid w:val="00CE6D9B"/>
    <w:rsid w:val="00D025EA"/>
    <w:rsid w:val="00D116B9"/>
    <w:rsid w:val="00D2290B"/>
    <w:rsid w:val="00D31E40"/>
    <w:rsid w:val="00D43BAE"/>
    <w:rsid w:val="00D81169"/>
    <w:rsid w:val="00D86FEF"/>
    <w:rsid w:val="00D8768D"/>
    <w:rsid w:val="00D9351A"/>
    <w:rsid w:val="00D95AFE"/>
    <w:rsid w:val="00DB54CE"/>
    <w:rsid w:val="00DC1B6B"/>
    <w:rsid w:val="00DE63AC"/>
    <w:rsid w:val="00DF343E"/>
    <w:rsid w:val="00DF725E"/>
    <w:rsid w:val="00E004CA"/>
    <w:rsid w:val="00E01C8E"/>
    <w:rsid w:val="00E05157"/>
    <w:rsid w:val="00E16D15"/>
    <w:rsid w:val="00E2695B"/>
    <w:rsid w:val="00E340DF"/>
    <w:rsid w:val="00E40804"/>
    <w:rsid w:val="00E42063"/>
    <w:rsid w:val="00E5640A"/>
    <w:rsid w:val="00E61BE2"/>
    <w:rsid w:val="00E61D36"/>
    <w:rsid w:val="00E6421A"/>
    <w:rsid w:val="00E64DD7"/>
    <w:rsid w:val="00E65FBF"/>
    <w:rsid w:val="00E705F1"/>
    <w:rsid w:val="00E70653"/>
    <w:rsid w:val="00E73AE5"/>
    <w:rsid w:val="00E82E51"/>
    <w:rsid w:val="00E97FB2"/>
    <w:rsid w:val="00EA1D7F"/>
    <w:rsid w:val="00EA2679"/>
    <w:rsid w:val="00EB298B"/>
    <w:rsid w:val="00EC7734"/>
    <w:rsid w:val="00ED7C69"/>
    <w:rsid w:val="00EE11F5"/>
    <w:rsid w:val="00EE52DA"/>
    <w:rsid w:val="00EF0828"/>
    <w:rsid w:val="00EF1AA9"/>
    <w:rsid w:val="00EF249D"/>
    <w:rsid w:val="00F22D47"/>
    <w:rsid w:val="00F25B42"/>
    <w:rsid w:val="00F27EC5"/>
    <w:rsid w:val="00F50156"/>
    <w:rsid w:val="00F62B11"/>
    <w:rsid w:val="00F6503B"/>
    <w:rsid w:val="00F65094"/>
    <w:rsid w:val="00F7225E"/>
    <w:rsid w:val="00F74E9B"/>
    <w:rsid w:val="00F948CE"/>
    <w:rsid w:val="00FA0D8E"/>
    <w:rsid w:val="00FC6989"/>
    <w:rsid w:val="00FD38F8"/>
    <w:rsid w:val="00FE6776"/>
    <w:rsid w:val="00FF080E"/>
    <w:rsid w:val="00FF2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37514C9C-92F3-4BB2-9964-825B9B5F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F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74BA-2203-4993-9AC5-8DBC42CA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2019-01-30T16:15:00Z</dcterms:created>
  <dcterms:modified xsi:type="dcterms:W3CDTF">2019-01-30T16:16:00Z</dcterms:modified>
</cp:coreProperties>
</file>