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701"/>
        <w:gridCol w:w="1701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7F76E4" w:rsidP="00275E11">
            <w:pPr>
              <w:jc w:val="both"/>
            </w:pPr>
            <w:r w:rsidRPr="007F76E4">
              <w:t>Vinculación del POA al PMD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7F76E4" w:rsidP="00275E11">
            <w:pPr>
              <w:jc w:val="both"/>
            </w:pPr>
            <w:r>
              <w:t>Dirección de Planeación y Programación de la Dirección General de Políticas Públicas.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7F76E4" w:rsidP="007F76E4">
            <w:pPr>
              <w:jc w:val="both"/>
            </w:pPr>
            <w:r>
              <w:t xml:space="preserve">Los instrumentos de planeación y </w:t>
            </w:r>
            <w:proofErr w:type="spellStart"/>
            <w:r>
              <w:t>presupuestación</w:t>
            </w:r>
            <w:proofErr w:type="spellEnd"/>
            <w:r>
              <w:t xml:space="preserve"> no se encuentran vinculados entre las dependencias que realizan la programación y el ejercicio del gasto, por lo que el proceso de planeación no vincula el gasto programado en base a los criterios del Plan Municipal de Desarrollo: Ejes, Estrategias y Líneas de Acción. Por lo que es necesario vincular el costo presupuestal de cada dependencia municipal y sus correspondientes programas, proyectos, campañas o servicios, con los respectivos ejes, estrategias y líneas de acción del Plan Municipal de Desarrollo.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  <w:r w:rsidR="007F76E4">
              <w:t>/Cobertura Institucional</w:t>
            </w:r>
          </w:p>
        </w:tc>
        <w:tc>
          <w:tcPr>
            <w:tcW w:w="6228" w:type="dxa"/>
            <w:gridSpan w:val="6"/>
          </w:tcPr>
          <w:p w:rsidR="0024680E" w:rsidRDefault="007F76E4" w:rsidP="00275E11">
            <w:pPr>
              <w:jc w:val="both"/>
            </w:pPr>
            <w:r>
              <w:t>Atiende a las 84 Dependencias municipales que elaboran propuesta de planeación y reportan trimestralmente sus avances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7F76E4" w:rsidP="007F76E4">
            <w:pPr>
              <w:tabs>
                <w:tab w:val="left" w:pos="1827"/>
              </w:tabs>
            </w:pPr>
            <w:r>
              <w:t>Mtro. Pablo López Villegas.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7F76E4" w:rsidP="00146319">
            <w:pPr>
              <w:jc w:val="both"/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Asegurar la vinculación de todos los programas, proyectos, campañas y servicios  con el Plan Municipal de Desarrollo,  estableciendo metas e indicadores de resultados para </w:t>
            </w:r>
            <w:r w:rsidR="00146319">
              <w:rPr>
                <w:rFonts w:cstheme="minorHAnsi"/>
                <w:color w:val="222222"/>
                <w:shd w:val="clear" w:color="auto" w:fill="FFFFFF"/>
              </w:rPr>
              <w:t>monitorear el avance de los objetivos del plan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146319" w:rsidP="00275E11">
            <w:pPr>
              <w:jc w:val="both"/>
            </w:pPr>
            <w:r>
              <w:t>Funcionarios municipales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146319" w:rsidP="00275E11">
            <w:r>
              <w:t>1º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DD5A83" w:rsidP="00DD5A83">
            <w:r>
              <w:t>31</w:t>
            </w:r>
            <w:r w:rsidR="00146319">
              <w:t xml:space="preserve"> de </w:t>
            </w:r>
            <w:r>
              <w:t xml:space="preserve">marzo </w:t>
            </w:r>
            <w:r w:rsidR="00146319">
              <w:t>de 2019</w:t>
            </w:r>
          </w:p>
        </w:tc>
      </w:tr>
      <w:tr w:rsidR="0057477E" w:rsidTr="00146319">
        <w:tc>
          <w:tcPr>
            <w:tcW w:w="1057" w:type="dxa"/>
          </w:tcPr>
          <w:p w:rsidR="0057477E" w:rsidRDefault="00146319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146319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lastRenderedPageBreak/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701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146319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7477E" w:rsidRPr="00146319" w:rsidRDefault="00146319" w:rsidP="00146319">
            <w:pPr>
              <w:jc w:val="center"/>
              <w:rPr>
                <w:b/>
                <w:i/>
              </w:rPr>
            </w:pPr>
            <w:r w:rsidRPr="00146319">
              <w:rPr>
                <w:b/>
                <w:i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Default="0057477E" w:rsidP="00275E11"/>
        </w:tc>
        <w:tc>
          <w:tcPr>
            <w:tcW w:w="2268" w:type="dxa"/>
            <w:shd w:val="clear" w:color="auto" w:fill="auto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33"/>
        <w:gridCol w:w="1655"/>
        <w:gridCol w:w="263"/>
        <w:gridCol w:w="1087"/>
        <w:gridCol w:w="1365"/>
        <w:gridCol w:w="1365"/>
        <w:gridCol w:w="1186"/>
        <w:gridCol w:w="892"/>
        <w:gridCol w:w="1337"/>
      </w:tblGrid>
      <w:tr w:rsidR="006560DD" w:rsidTr="00E267D9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579" w:type="pct"/>
            <w:gridSpan w:val="8"/>
            <w:shd w:val="clear" w:color="auto" w:fill="auto"/>
          </w:tcPr>
          <w:p w:rsidR="006560DD" w:rsidRDefault="000F1E65" w:rsidP="000F1E65">
            <w:r>
              <w:rPr>
                <w:rFonts w:cstheme="minorHAnsi"/>
                <w:color w:val="222222"/>
                <w:shd w:val="clear" w:color="auto" w:fill="FFFFFF"/>
              </w:rPr>
              <w:t xml:space="preserve">Programas, proyectos, campañas y servicios de las dependencias municipales vinculados a las Estrategias del Plan Municipal de Desarrollo como parte del proceso de planeación y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presupuestación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6560DD" w:rsidTr="00E267D9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579" w:type="pct"/>
            <w:gridSpan w:val="8"/>
            <w:shd w:val="clear" w:color="auto" w:fill="auto"/>
          </w:tcPr>
          <w:p w:rsidR="006560DD" w:rsidRDefault="00DD5A83" w:rsidP="00DD5A83">
            <w:r>
              <w:t xml:space="preserve">Revisión de Estrategias y Líneas de Acción. Depuración y actualización de Estrategias y Líneas de Acción del PMD. Vinculación de los programas, proyectos, campañas y servicios a los ejes, estrategias y líneas de acción del Plan Municipal de Desarrollo. Generación de criterios para la priorización de las propuestas generadas en el POA 2018. Aplicación de criterios de priorización a los </w:t>
            </w:r>
            <w:proofErr w:type="spellStart"/>
            <w:r>
              <w:t>ppcs’s</w:t>
            </w:r>
            <w:proofErr w:type="spellEnd"/>
            <w:r>
              <w:t>. Priorización de programas, proyectos, campañas y servicios de las dependencias municipales. Envío de prioridades a Tesorería Municipal para utilizar como criterio en la toma de decisiones para la adjudicación del gasto.</w:t>
            </w:r>
          </w:p>
        </w:tc>
      </w:tr>
      <w:tr w:rsidR="006560DD" w:rsidTr="00E267D9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579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E267D9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579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E267D9">
        <w:tc>
          <w:tcPr>
            <w:tcW w:w="1421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50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493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36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E267D9">
        <w:tc>
          <w:tcPr>
            <w:tcW w:w="1421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493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36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E267D9">
        <w:trPr>
          <w:trHeight w:val="579"/>
        </w:trPr>
        <w:tc>
          <w:tcPr>
            <w:tcW w:w="1421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27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3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E267D9">
        <w:trPr>
          <w:trHeight w:val="405"/>
        </w:trPr>
        <w:tc>
          <w:tcPr>
            <w:tcW w:w="1421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3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3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E267D9" w:rsidTr="00E267D9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Pr="00DD5A83" w:rsidRDefault="00E267D9" w:rsidP="00E267D9">
            <w:pPr>
              <w:pStyle w:val="Prrafodelista"/>
              <w:numPr>
                <w:ilvl w:val="0"/>
                <w:numId w:val="3"/>
              </w:numPr>
            </w:pPr>
            <w:r>
              <w:t xml:space="preserve">Porcentaje de avance en la vinculación de los </w:t>
            </w:r>
            <w:proofErr w:type="spellStart"/>
            <w:r>
              <w:t>ppcs’s</w:t>
            </w:r>
            <w:proofErr w:type="spellEnd"/>
            <w:r>
              <w:t xml:space="preserve"> del POA 2018 a la estructura programática del PMD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Eficacia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Conocer el porcentaje de avance en el proceso de</w:t>
            </w:r>
            <w:r>
              <w:rPr>
                <w:rFonts w:ascii="Calibri" w:hAnsi="Calibri" w:cs="Calibri"/>
                <w:color w:val="000000"/>
              </w:rPr>
              <w:t xml:space="preserve"> vinculación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del POA 2019 con las Estrategias y Líneas de Acción del PMD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(número de etapas realizadas / número de etapas </w:t>
            </w:r>
            <w:r>
              <w:rPr>
                <w:rFonts w:ascii="Calibri" w:hAnsi="Calibri" w:cs="Calibri"/>
                <w:color w:val="000000"/>
              </w:rPr>
              <w:lastRenderedPageBreak/>
              <w:t>totales) x 100</w:t>
            </w:r>
          </w:p>
          <w:p w:rsidR="00E267D9" w:rsidRDefault="00E267D9" w:rsidP="00E267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D9" w:rsidRDefault="00E267D9" w:rsidP="00E26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:rsidTr="00E267D9">
        <w:tc>
          <w:tcPr>
            <w:tcW w:w="2596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04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D228A6" w:rsidRDefault="00DD5A83" w:rsidP="00DD5A83">
            <w:r>
              <w:t>Revisión de Estrategias y Líneas de Acción.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t>Depuración y actualización de Estrategias y Líneas de A</w:t>
            </w:r>
            <w:r w:rsidR="00EA78B6">
              <w:t>cción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t>Vinculación de los programas, proyectos, campañas y servicios a los ejes, estrategias y líneas de acción del PMD.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lastRenderedPageBreak/>
              <w:t>Generación de criterios para la priorización de las propuestas generadas en el POA 2018.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t xml:space="preserve">Aplicación de criterios de priorización a los </w:t>
            </w:r>
            <w:proofErr w:type="spellStart"/>
            <w:r>
              <w:t>ppcs’s</w:t>
            </w:r>
            <w:proofErr w:type="spellEnd"/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t>Priorización de programas, proyectos, campañas y servicios de las dependencias municipales.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t>Envío de prioridades a Tesorería Municipal para utilizar como criterio en la toma de decisiones para la adjudicación del gasto.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Default="00DD5A83" w:rsidP="00DD5A83"/>
          <w:p w:rsidR="00DD5A83" w:rsidRPr="00A316F5" w:rsidRDefault="00DD5A83" w:rsidP="00DD5A83"/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6A2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1E65"/>
    <w:rsid w:val="001324C2"/>
    <w:rsid w:val="00144C96"/>
    <w:rsid w:val="00146319"/>
    <w:rsid w:val="001473C9"/>
    <w:rsid w:val="001A597F"/>
    <w:rsid w:val="00233105"/>
    <w:rsid w:val="0024680E"/>
    <w:rsid w:val="002F08F4"/>
    <w:rsid w:val="005014C2"/>
    <w:rsid w:val="0057477E"/>
    <w:rsid w:val="005C50F9"/>
    <w:rsid w:val="005F6BB1"/>
    <w:rsid w:val="00613CE2"/>
    <w:rsid w:val="006560DD"/>
    <w:rsid w:val="007206CD"/>
    <w:rsid w:val="0076351F"/>
    <w:rsid w:val="00765A82"/>
    <w:rsid w:val="007F76E4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15E9A"/>
    <w:rsid w:val="00C3660A"/>
    <w:rsid w:val="00D86FEF"/>
    <w:rsid w:val="00D8768D"/>
    <w:rsid w:val="00DD5A83"/>
    <w:rsid w:val="00E267D9"/>
    <w:rsid w:val="00E40804"/>
    <w:rsid w:val="00EA78B6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E3DE0F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770C-7AC3-4FEA-A033-FB81973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4</cp:revision>
  <dcterms:created xsi:type="dcterms:W3CDTF">2018-12-05T17:55:00Z</dcterms:created>
  <dcterms:modified xsi:type="dcterms:W3CDTF">2019-01-28T18:25:00Z</dcterms:modified>
</cp:coreProperties>
</file>