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1B08A4" w:rsidP="00275E11">
            <w:pPr>
              <w:jc w:val="both"/>
            </w:pPr>
            <w:r>
              <w:t>Adquisición de Vehículo</w:t>
            </w:r>
            <w:r w:rsidR="0065726E">
              <w:t xml:space="preserve"> para promoción de inversiones y capacitación en colonias en situación</w:t>
            </w:r>
            <w:r w:rsidR="00B04D4A">
              <w:t xml:space="preserve"> vulnerable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054BC5" w:rsidP="00275E11">
            <w:pPr>
              <w:jc w:val="both"/>
            </w:pPr>
            <w:r>
              <w:t>Inversión y emprendimiento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090AFE" w:rsidRDefault="00B069B0" w:rsidP="00FC6518">
            <w:pPr>
              <w:jc w:val="both"/>
            </w:pPr>
            <w:r>
              <w:t>La f</w:t>
            </w:r>
            <w:r w:rsidR="00AA27F4">
              <w:t xml:space="preserve">alta de </w:t>
            </w:r>
            <w:r w:rsidR="00186984">
              <w:t>vehículo</w:t>
            </w:r>
            <w:r w:rsidR="00AA27F4">
              <w:t xml:space="preserve"> </w:t>
            </w:r>
            <w:r w:rsidR="00127FA2">
              <w:t>limita el alcance de los objetivos programado</w:t>
            </w:r>
            <w:r w:rsidR="00F47188">
              <w:t xml:space="preserve">s </w:t>
            </w:r>
            <w:r w:rsidR="00AA27F4">
              <w:t xml:space="preserve">de atracción de inversiones </w:t>
            </w:r>
            <w:r w:rsidR="00F47188">
              <w:t>al municipio, así como en la implementación de capacitaciones</w:t>
            </w:r>
            <w:r w:rsidR="00AA27F4">
              <w:t xml:space="preserve"> </w:t>
            </w:r>
            <w:r w:rsidR="00186984">
              <w:t>en colonias en situación vulnerable</w:t>
            </w:r>
            <w:r w:rsidR="00660D46">
              <w:t>. Las herramientas de trabajo son indispensables para alcanzar las metas y objetivos plasmados en pro</w:t>
            </w:r>
            <w:r w:rsidR="00FC6518">
              <w:t>gramas propuestos para esta Unidad</w:t>
            </w:r>
            <w:r w:rsidR="00660D46">
              <w:t>.</w:t>
            </w:r>
            <w:r w:rsidR="00C22BF9">
              <w:t xml:space="preserve"> </w:t>
            </w:r>
            <w:r w:rsidR="00EC72FC">
              <w:t>En la Coordinación General de Desarrollo Económico y Combate a la desigualdad se cuenta con solo 2 vehículos destinados apoyar las activida</w:t>
            </w:r>
            <w:r w:rsidR="00C60359">
              <w:t>des del programa Hecho con Amor.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A64E1A" w:rsidP="00275E11">
            <w:pPr>
              <w:jc w:val="both"/>
            </w:pPr>
            <w:r>
              <w:t>N/d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946B9B" w:rsidRDefault="001C571B" w:rsidP="00275E11">
            <w:pPr>
              <w:jc w:val="both"/>
            </w:pPr>
            <w:r w:rsidRPr="00371C52">
              <w:t xml:space="preserve">Blanca Cecilia Vázquez Valencia, Tel. (33) 36591599, 36590901                          E-mail: </w:t>
            </w:r>
            <w:hyperlink r:id="rId8" w:history="1">
              <w:r w:rsidRPr="00371C52">
                <w:rPr>
                  <w:rStyle w:val="Hipervnculo"/>
                  <w:color w:val="auto"/>
                  <w:u w:val="none"/>
                </w:rPr>
                <w:t>proyectosjal01</w:t>
              </w:r>
              <w:r w:rsidRPr="00371C52">
                <w:rPr>
                  <w:rStyle w:val="Hipervnculo"/>
                  <w:color w:val="auto"/>
                  <w:u w:val="none"/>
                  <w:lang w:val="es-ES_tradnl"/>
                </w:rPr>
                <w:t>@</w:t>
              </w:r>
              <w:r w:rsidRPr="00371C52">
                <w:rPr>
                  <w:rStyle w:val="Hipervnculo"/>
                  <w:color w:val="auto"/>
                  <w:u w:val="none"/>
                </w:rPr>
                <w:t>mail.com</w:t>
              </w:r>
            </w:hyperlink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B9090D" w:rsidP="00883122">
            <w:pPr>
              <w:tabs>
                <w:tab w:val="left" w:pos="4170"/>
              </w:tabs>
              <w:jc w:val="both"/>
            </w:pPr>
            <w:r>
              <w:t>Adquirir un vehículo que pe</w:t>
            </w:r>
            <w:r w:rsidR="005B26AE">
              <w:t>rmita alcanzar los objetivos y actividades de la Unidad de Inversión y emprendimiento.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8F1DC4" w:rsidP="00275E11">
            <w:pPr>
              <w:jc w:val="both"/>
            </w:pPr>
            <w:r>
              <w:t>N/d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E62944" w:rsidP="00275E11">
            <w:r>
              <w:t>01 de Octubre de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676C8F" w:rsidP="00275E11">
            <w:r>
              <w:t>30 de Septiembre de 2019</w:t>
            </w:r>
          </w:p>
        </w:tc>
      </w:tr>
      <w:tr w:rsidR="0057477E" w:rsidTr="00E40804">
        <w:tc>
          <w:tcPr>
            <w:tcW w:w="105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A64E1A" w:rsidP="00275E11">
            <w:pPr>
              <w:jc w:val="center"/>
            </w:pPr>
            <w: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F4509F" w:rsidP="00275E11">
            <w:r>
              <w:t>200,000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F26472" w:rsidP="00F26472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985B24" w:rsidRDefault="00985B24" w:rsidP="00985B24"/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89636B" w:rsidP="00275E11">
            <w:r>
              <w:t>Adquisición de Vehículo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5A253E" w:rsidRDefault="005A253E" w:rsidP="00275E11">
            <w:r>
              <w:t>Participación y promoción del material económico del Municipio de Tlaquepaque en visitas de Misiones comerciales extranjeras, consulados, embajadas, dependencias y organismos de promoción internacional.</w:t>
            </w:r>
          </w:p>
          <w:p w:rsidR="005A253E" w:rsidRDefault="005A253E" w:rsidP="00275E11">
            <w:r>
              <w:t>Vinculación con Gobierno Estatal y Federal</w:t>
            </w:r>
          </w:p>
          <w:p w:rsidR="006560DD" w:rsidRDefault="009F046C" w:rsidP="005A253E">
            <w:r>
              <w:t>A</w:t>
            </w:r>
            <w:r w:rsidR="0032438F">
              <w:t>sistencia a capacitaciones en oportunidades comerciales en localidades en situación vulnerable.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590041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89636B" w:rsidP="0089636B">
            <w:pPr>
              <w:rPr>
                <w:rFonts w:ascii="Calibri" w:eastAsia="Times New Roman" w:hAnsi="Calibri" w:cs="Calibri"/>
                <w:color w:val="000000"/>
              </w:rPr>
            </w:pPr>
            <w:r>
              <w:t>Adquisición de Vehículo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7D20F0" w:rsidP="00590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89636B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Adquisición de Vehículo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90041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132034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304760" w:rsidP="00304760">
            <w:r>
              <w:t>Participación y promoción del material económico del Municipio de Tlaquepaque en visitas de Misiones comerciales extranjeras, consulados, embajadas, dependencias y organismos de promoción internacional.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Default="006560DD" w:rsidP="00A67619">
            <w:pPr>
              <w:jc w:val="center"/>
              <w:rPr>
                <w:sz w:val="20"/>
              </w:rPr>
            </w:pPr>
          </w:p>
          <w:p w:rsidR="00552430" w:rsidRPr="00145F76" w:rsidRDefault="00552430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Default="006560DD" w:rsidP="00A67619">
            <w:pPr>
              <w:jc w:val="center"/>
              <w:rPr>
                <w:sz w:val="20"/>
              </w:rPr>
            </w:pPr>
          </w:p>
          <w:p w:rsidR="00552430" w:rsidRPr="00145F76" w:rsidRDefault="00552430" w:rsidP="00552430">
            <w:pPr>
              <w:rPr>
                <w:sz w:val="20"/>
              </w:rPr>
            </w:pPr>
            <w:r>
              <w:rPr>
                <w:sz w:val="20"/>
              </w:rPr>
              <w:t xml:space="preserve">    X</w:t>
            </w:r>
          </w:p>
        </w:tc>
        <w:tc>
          <w:tcPr>
            <w:tcW w:w="275" w:type="pct"/>
            <w:shd w:val="clear" w:color="auto" w:fill="auto"/>
          </w:tcPr>
          <w:p w:rsidR="006560DD" w:rsidRDefault="006560DD" w:rsidP="00A67619">
            <w:pPr>
              <w:jc w:val="center"/>
              <w:rPr>
                <w:sz w:val="20"/>
              </w:rPr>
            </w:pPr>
          </w:p>
          <w:p w:rsidR="00552430" w:rsidRPr="00145F76" w:rsidRDefault="00552430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Default="006560DD" w:rsidP="00A67619">
            <w:pPr>
              <w:jc w:val="center"/>
              <w:rPr>
                <w:sz w:val="20"/>
              </w:rPr>
            </w:pPr>
          </w:p>
          <w:p w:rsidR="00552430" w:rsidRPr="00145F76" w:rsidRDefault="00552430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Default="006560DD" w:rsidP="00A67619">
            <w:pPr>
              <w:jc w:val="center"/>
              <w:rPr>
                <w:sz w:val="20"/>
              </w:rPr>
            </w:pPr>
          </w:p>
          <w:p w:rsidR="00552430" w:rsidRPr="00145F76" w:rsidRDefault="00552430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560DD" w:rsidRDefault="006560DD" w:rsidP="00A67619">
            <w:pPr>
              <w:jc w:val="center"/>
              <w:rPr>
                <w:sz w:val="20"/>
              </w:rPr>
            </w:pPr>
          </w:p>
          <w:p w:rsidR="00552430" w:rsidRPr="00145F76" w:rsidRDefault="00552430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Default="006560DD" w:rsidP="00A67619">
            <w:pPr>
              <w:jc w:val="center"/>
              <w:rPr>
                <w:sz w:val="20"/>
              </w:rPr>
            </w:pPr>
          </w:p>
          <w:p w:rsidR="00552430" w:rsidRPr="00145F76" w:rsidRDefault="00552430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Default="006560DD" w:rsidP="00A67619">
            <w:pPr>
              <w:jc w:val="center"/>
              <w:rPr>
                <w:sz w:val="20"/>
              </w:rPr>
            </w:pPr>
          </w:p>
          <w:p w:rsidR="00552430" w:rsidRDefault="00552430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552430" w:rsidRPr="00145F76" w:rsidRDefault="00552430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Default="006560DD" w:rsidP="00A67619">
            <w:pPr>
              <w:jc w:val="center"/>
              <w:rPr>
                <w:sz w:val="20"/>
              </w:rPr>
            </w:pPr>
          </w:p>
          <w:p w:rsidR="00552430" w:rsidRPr="00145F76" w:rsidRDefault="00552430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Default="006560DD" w:rsidP="00A67619">
            <w:pPr>
              <w:jc w:val="center"/>
              <w:rPr>
                <w:sz w:val="20"/>
              </w:rPr>
            </w:pPr>
          </w:p>
          <w:p w:rsidR="00552430" w:rsidRPr="00145F76" w:rsidRDefault="00552430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304760" w:rsidP="00B64EE1">
            <w:r>
              <w:t>Vinculación con Gobierno Estatal y Federal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55243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55243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55243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55243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55243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55243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55243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55243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55243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55243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304760" w:rsidP="00B64EE1">
            <w:r>
              <w:t>Asistencia a capacitaciones en oportunidades comerciales en localidades en situación vulnerable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Default="00B64EE1" w:rsidP="00B64EE1">
            <w:pPr>
              <w:jc w:val="center"/>
              <w:rPr>
                <w:sz w:val="20"/>
              </w:rPr>
            </w:pPr>
          </w:p>
          <w:p w:rsidR="00552430" w:rsidRPr="00145F76" w:rsidRDefault="0055243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Default="00B64EE1" w:rsidP="00B64EE1">
            <w:pPr>
              <w:jc w:val="center"/>
              <w:rPr>
                <w:sz w:val="20"/>
              </w:rPr>
            </w:pPr>
          </w:p>
          <w:p w:rsidR="00552430" w:rsidRPr="00145F76" w:rsidRDefault="0055243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Default="00B64EE1" w:rsidP="00B64EE1">
            <w:pPr>
              <w:jc w:val="center"/>
              <w:rPr>
                <w:sz w:val="20"/>
              </w:rPr>
            </w:pPr>
          </w:p>
          <w:p w:rsidR="00552430" w:rsidRDefault="0055243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552430" w:rsidRPr="00145F76" w:rsidRDefault="00552430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Default="00B64EE1" w:rsidP="00B64EE1">
            <w:pPr>
              <w:jc w:val="center"/>
              <w:rPr>
                <w:sz w:val="20"/>
              </w:rPr>
            </w:pPr>
          </w:p>
          <w:p w:rsidR="00552430" w:rsidRDefault="0055243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552430" w:rsidRPr="00145F76" w:rsidRDefault="00552430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Default="00B64EE1" w:rsidP="00B64EE1">
            <w:pPr>
              <w:jc w:val="center"/>
              <w:rPr>
                <w:sz w:val="20"/>
              </w:rPr>
            </w:pPr>
          </w:p>
          <w:p w:rsidR="00552430" w:rsidRPr="00145F76" w:rsidRDefault="0055243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Default="00B64EE1" w:rsidP="00B64EE1">
            <w:pPr>
              <w:jc w:val="center"/>
              <w:rPr>
                <w:sz w:val="20"/>
              </w:rPr>
            </w:pPr>
          </w:p>
          <w:p w:rsidR="00552430" w:rsidRPr="00145F76" w:rsidRDefault="0055243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Default="00B64EE1" w:rsidP="00B64EE1">
            <w:pPr>
              <w:jc w:val="center"/>
              <w:rPr>
                <w:sz w:val="20"/>
              </w:rPr>
            </w:pPr>
          </w:p>
          <w:p w:rsidR="00552430" w:rsidRDefault="0055243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552430" w:rsidRPr="00145F76" w:rsidRDefault="00552430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Default="00B64EE1" w:rsidP="00B64EE1">
            <w:pPr>
              <w:jc w:val="center"/>
              <w:rPr>
                <w:sz w:val="20"/>
              </w:rPr>
            </w:pPr>
          </w:p>
          <w:p w:rsidR="00552430" w:rsidRDefault="0055243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552430" w:rsidRPr="00145F76" w:rsidRDefault="00552430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Default="00B64EE1" w:rsidP="00B64EE1">
            <w:pPr>
              <w:jc w:val="center"/>
              <w:rPr>
                <w:sz w:val="20"/>
              </w:rPr>
            </w:pPr>
          </w:p>
          <w:p w:rsidR="00552430" w:rsidRPr="00145F76" w:rsidRDefault="0055243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Default="00B64EE1" w:rsidP="00B64EE1">
            <w:pPr>
              <w:jc w:val="center"/>
              <w:rPr>
                <w:sz w:val="20"/>
              </w:rPr>
            </w:pPr>
          </w:p>
          <w:p w:rsidR="00552430" w:rsidRPr="00145F76" w:rsidRDefault="00552430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E51" w:rsidRDefault="00BF0E51" w:rsidP="00985B24">
      <w:pPr>
        <w:spacing w:after="0" w:line="240" w:lineRule="auto"/>
      </w:pPr>
      <w:r>
        <w:separator/>
      </w:r>
    </w:p>
  </w:endnote>
  <w:endnote w:type="continuationSeparator" w:id="0">
    <w:p w:rsidR="00BF0E51" w:rsidRDefault="00BF0E5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E51" w:rsidRDefault="00BF0E51" w:rsidP="00985B24">
      <w:pPr>
        <w:spacing w:after="0" w:line="240" w:lineRule="auto"/>
      </w:pPr>
      <w:r>
        <w:separator/>
      </w:r>
    </w:p>
  </w:footnote>
  <w:footnote w:type="continuationSeparator" w:id="0">
    <w:p w:rsidR="00BF0E51" w:rsidRDefault="00BF0E5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4BC5"/>
    <w:rsid w:val="00055E9C"/>
    <w:rsid w:val="00061287"/>
    <w:rsid w:val="00071F00"/>
    <w:rsid w:val="000843BC"/>
    <w:rsid w:val="00090AFE"/>
    <w:rsid w:val="000B5362"/>
    <w:rsid w:val="000B6BEE"/>
    <w:rsid w:val="000C28BD"/>
    <w:rsid w:val="00104854"/>
    <w:rsid w:val="00127FA2"/>
    <w:rsid w:val="00132034"/>
    <w:rsid w:val="001324C2"/>
    <w:rsid w:val="00144C96"/>
    <w:rsid w:val="001473C9"/>
    <w:rsid w:val="00186984"/>
    <w:rsid w:val="001A597F"/>
    <w:rsid w:val="001B08A4"/>
    <w:rsid w:val="001B28FB"/>
    <w:rsid w:val="001C571B"/>
    <w:rsid w:val="00214B5C"/>
    <w:rsid w:val="00233105"/>
    <w:rsid w:val="0024565F"/>
    <w:rsid w:val="0024680E"/>
    <w:rsid w:val="00285D62"/>
    <w:rsid w:val="002B5617"/>
    <w:rsid w:val="002F08F4"/>
    <w:rsid w:val="00304760"/>
    <w:rsid w:val="0032438F"/>
    <w:rsid w:val="00346EF3"/>
    <w:rsid w:val="00364CDC"/>
    <w:rsid w:val="003807FD"/>
    <w:rsid w:val="00424145"/>
    <w:rsid w:val="00483A28"/>
    <w:rsid w:val="005014C2"/>
    <w:rsid w:val="00552430"/>
    <w:rsid w:val="0057477E"/>
    <w:rsid w:val="00590041"/>
    <w:rsid w:val="005A253E"/>
    <w:rsid w:val="005B26AE"/>
    <w:rsid w:val="005C50F9"/>
    <w:rsid w:val="005F6BB1"/>
    <w:rsid w:val="00613CE2"/>
    <w:rsid w:val="006560DD"/>
    <w:rsid w:val="0065726E"/>
    <w:rsid w:val="00660D46"/>
    <w:rsid w:val="00676C8F"/>
    <w:rsid w:val="007114E8"/>
    <w:rsid w:val="007206CD"/>
    <w:rsid w:val="0076351F"/>
    <w:rsid w:val="00786803"/>
    <w:rsid w:val="007C5149"/>
    <w:rsid w:val="007D20F0"/>
    <w:rsid w:val="00817E61"/>
    <w:rsid w:val="0083444F"/>
    <w:rsid w:val="008824CC"/>
    <w:rsid w:val="00883122"/>
    <w:rsid w:val="0089599C"/>
    <w:rsid w:val="0089636B"/>
    <w:rsid w:val="008A3650"/>
    <w:rsid w:val="008F1DC4"/>
    <w:rsid w:val="00945155"/>
    <w:rsid w:val="00946B9B"/>
    <w:rsid w:val="00985B24"/>
    <w:rsid w:val="009B23B5"/>
    <w:rsid w:val="009F046C"/>
    <w:rsid w:val="00A541AC"/>
    <w:rsid w:val="00A624F2"/>
    <w:rsid w:val="00A64E1A"/>
    <w:rsid w:val="00A65BAF"/>
    <w:rsid w:val="00A67619"/>
    <w:rsid w:val="00A80D75"/>
    <w:rsid w:val="00AA22B4"/>
    <w:rsid w:val="00AA27F4"/>
    <w:rsid w:val="00AD6073"/>
    <w:rsid w:val="00B04D4A"/>
    <w:rsid w:val="00B069B0"/>
    <w:rsid w:val="00B15ABE"/>
    <w:rsid w:val="00B3346E"/>
    <w:rsid w:val="00B64EE1"/>
    <w:rsid w:val="00B9090D"/>
    <w:rsid w:val="00BA0173"/>
    <w:rsid w:val="00BF0E51"/>
    <w:rsid w:val="00C22BF9"/>
    <w:rsid w:val="00C3660A"/>
    <w:rsid w:val="00C60359"/>
    <w:rsid w:val="00D86FEF"/>
    <w:rsid w:val="00D8768D"/>
    <w:rsid w:val="00DB1280"/>
    <w:rsid w:val="00E21863"/>
    <w:rsid w:val="00E40804"/>
    <w:rsid w:val="00E62944"/>
    <w:rsid w:val="00E7195C"/>
    <w:rsid w:val="00EB279A"/>
    <w:rsid w:val="00EC72FC"/>
    <w:rsid w:val="00F26472"/>
    <w:rsid w:val="00F4509F"/>
    <w:rsid w:val="00F46704"/>
    <w:rsid w:val="00F47188"/>
    <w:rsid w:val="00F62B11"/>
    <w:rsid w:val="00F72D87"/>
    <w:rsid w:val="00FC6518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76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jal01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BA70-9999-44BC-B48B-69CA270E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2018-12-05T15:59:00Z</dcterms:created>
  <dcterms:modified xsi:type="dcterms:W3CDTF">2018-12-05T15:59:00Z</dcterms:modified>
</cp:coreProperties>
</file>