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501E0C" w:rsidRPr="000F7686" w:rsidRDefault="00501E0C" w:rsidP="00501E0C">
      <w:r w:rsidRPr="000F7686">
        <w:rPr>
          <w:b/>
          <w:sz w:val="40"/>
        </w:rPr>
        <w:t>ANEXO 1</w:t>
      </w:r>
      <w:r w:rsidR="0066726B" w:rsidRPr="000F7686">
        <w:rPr>
          <w:b/>
          <w:sz w:val="40"/>
        </w:rPr>
        <w:t>: DATOS</w:t>
      </w:r>
      <w:r w:rsidR="00493735" w:rsidRPr="000F7686">
        <w:rPr>
          <w:b/>
          <w:sz w:val="40"/>
        </w:rPr>
        <w:t xml:space="preserve"> </w:t>
      </w:r>
      <w:r w:rsidRPr="000F7686">
        <w:rPr>
          <w:b/>
          <w:sz w:val="40"/>
        </w:rPr>
        <w:t>GENERALES</w:t>
      </w:r>
      <w:r w:rsidR="00937FA6" w:rsidRPr="000F7686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8"/>
        <w:gridCol w:w="987"/>
        <w:gridCol w:w="887"/>
        <w:gridCol w:w="114"/>
        <w:gridCol w:w="1140"/>
        <w:gridCol w:w="2395"/>
        <w:gridCol w:w="516"/>
        <w:gridCol w:w="768"/>
        <w:gridCol w:w="842"/>
        <w:gridCol w:w="1681"/>
      </w:tblGrid>
      <w:tr w:rsidR="000F7686" w:rsidRPr="000F7686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7"/>
          </w:tcPr>
          <w:p w:rsidR="001E1693" w:rsidRPr="000F7686" w:rsidRDefault="00E85231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5_Supervisión Interna.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524328" w:rsidRPr="000F7686" w:rsidRDefault="00524328" w:rsidP="00524328">
            <w:r w:rsidRPr="000F7686">
              <w:t>B)Dirección o área responsable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Pr="000F7686" w:rsidRDefault="00524328" w:rsidP="00524328">
            <w:pPr>
              <w:jc w:val="both"/>
            </w:pPr>
            <w:r w:rsidRPr="000F7686">
              <w:t>Dirección Operativa.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24328" w:rsidRPr="000F7686" w:rsidRDefault="00524328" w:rsidP="0052432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524328" w:rsidRPr="000F7686" w:rsidRDefault="00524328" w:rsidP="00524328">
            <w:r w:rsidRPr="000F7686">
              <w:t xml:space="preserve">C)Problemática que atiende la propuesta </w:t>
            </w:r>
          </w:p>
        </w:tc>
        <w:tc>
          <w:tcPr>
            <w:tcW w:w="6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Pr="000F7686" w:rsidRDefault="00A25866" w:rsidP="00A25866">
            <w:pPr>
              <w:jc w:val="both"/>
            </w:pPr>
            <w:r w:rsidRPr="000F7686">
              <w:t>Falta de supervisión interna del personal operativo, que evite la participación de estos en conductas indebidas al ejercicio de su función, conductas omisas, negligentes, prepotencia y corrupción en el actuar de los elementos.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24328" w:rsidRPr="000F7686" w:rsidRDefault="00524328" w:rsidP="0052432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both"/>
            </w:pPr>
          </w:p>
        </w:tc>
      </w:tr>
      <w:tr w:rsidR="000F7686" w:rsidRPr="000F7686" w:rsidTr="008A427E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524328" w:rsidRPr="000F7686" w:rsidRDefault="00524328" w:rsidP="00524328"/>
        </w:tc>
        <w:tc>
          <w:tcPr>
            <w:tcW w:w="61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Pr="000F7686" w:rsidRDefault="00524328" w:rsidP="0052432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24328" w:rsidRPr="000F7686" w:rsidRDefault="00524328" w:rsidP="00524328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524328" w:rsidRPr="000F7686" w:rsidRDefault="00524328" w:rsidP="00524328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Pr="000F7686" w:rsidRDefault="00524328" w:rsidP="00524328">
            <w:pPr>
              <w:jc w:val="both"/>
            </w:pPr>
            <w:r w:rsidRPr="000F7686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24328" w:rsidRPr="000F7686" w:rsidRDefault="00524328" w:rsidP="0052432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524328" w:rsidRPr="000F7686" w:rsidRDefault="00524328" w:rsidP="00524328">
            <w:r w:rsidRPr="000F7686">
              <w:t xml:space="preserve">E)Nombre del enlace o responsable 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Pr="000F7686" w:rsidRDefault="00524328" w:rsidP="00524328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24328" w:rsidRPr="000F7686" w:rsidRDefault="00524328" w:rsidP="00524328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524328" w:rsidRPr="000F7686" w:rsidRDefault="00524328" w:rsidP="00524328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Pr="000F7686" w:rsidRDefault="004B777D" w:rsidP="00524328">
            <w:pPr>
              <w:jc w:val="both"/>
            </w:pPr>
            <w:r w:rsidRPr="000F7686">
              <w:t>Reducir al máximo el riesgo del personal operativo en el servicio.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24328" w:rsidRPr="000F7686" w:rsidRDefault="00524328" w:rsidP="0052432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524328" w:rsidRPr="000F7686" w:rsidRDefault="00524328" w:rsidP="00524328">
            <w:pPr>
              <w:jc w:val="both"/>
            </w:pPr>
            <w:r w:rsidRPr="000F7686">
              <w:t xml:space="preserve">G) Perfil de la </w:t>
            </w:r>
            <w:proofErr w:type="spellStart"/>
            <w:r w:rsidRPr="000F7686">
              <w:t>poblacióne</w:t>
            </w:r>
            <w:proofErr w:type="spellEnd"/>
            <w:r w:rsidRPr="000F7686">
              <w:t xml:space="preserve"> institución; atendida o beneficiada.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Pr="000F7686" w:rsidRDefault="00524328" w:rsidP="00524328">
            <w:pPr>
              <w:jc w:val="both"/>
            </w:pPr>
            <w:r w:rsidRPr="000F7686">
              <w:t>1 Dependencia de la administración pública municipal.</w:t>
            </w:r>
          </w:p>
        </w:tc>
      </w:tr>
      <w:tr w:rsidR="000F7686" w:rsidRPr="000F7686" w:rsidTr="00855E99">
        <w:tc>
          <w:tcPr>
            <w:tcW w:w="3961" w:type="dxa"/>
            <w:gridSpan w:val="6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>Tipo de propuesta</w:t>
            </w:r>
          </w:p>
        </w:tc>
        <w:tc>
          <w:tcPr>
            <w:tcW w:w="1988" w:type="dxa"/>
            <w:gridSpan w:val="3"/>
            <w:shd w:val="clear" w:color="auto" w:fill="A6A6A6" w:themeFill="background1" w:themeFillShade="A6"/>
          </w:tcPr>
          <w:p w:rsidR="00501E0C" w:rsidRPr="000F7686" w:rsidRDefault="00501E0C" w:rsidP="00BA7014">
            <w:pPr>
              <w:jc w:val="center"/>
            </w:pPr>
            <w:r w:rsidRPr="000F7686">
              <w:t>Beneficiarios</w:t>
            </w:r>
          </w:p>
        </w:tc>
        <w:tc>
          <w:tcPr>
            <w:tcW w:w="3535" w:type="dxa"/>
            <w:gridSpan w:val="2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>Fecha de Inicio</w:t>
            </w:r>
          </w:p>
        </w:tc>
        <w:tc>
          <w:tcPr>
            <w:tcW w:w="3807" w:type="dxa"/>
            <w:gridSpan w:val="4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>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855E99" w:rsidRPr="000F7686" w:rsidRDefault="00855E99" w:rsidP="008A427E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855E99" w:rsidRPr="000F7686" w:rsidRDefault="00855E99" w:rsidP="008A427E">
            <w:pPr>
              <w:jc w:val="center"/>
            </w:pPr>
            <w:r w:rsidRPr="000F7686">
              <w:t>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855E99" w:rsidRPr="000F7686" w:rsidRDefault="00524328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55E99" w:rsidRPr="000F7686" w:rsidRDefault="00855E99" w:rsidP="008A427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855E99" w:rsidRPr="000F7686" w:rsidRDefault="00855E99" w:rsidP="008A427E">
            <w:pPr>
              <w:jc w:val="center"/>
            </w:pPr>
          </w:p>
        </w:tc>
      </w:tr>
      <w:tr w:rsidR="000F7686" w:rsidRPr="000F7686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55E99" w:rsidRPr="000F7686" w:rsidRDefault="00855E99" w:rsidP="008A427E">
            <w:pPr>
              <w:jc w:val="center"/>
            </w:pPr>
            <w:r w:rsidRPr="000F7686">
              <w:t>L)Monto total estimado</w:t>
            </w:r>
          </w:p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855E99" w:rsidRPr="000F7686" w:rsidRDefault="00855E99" w:rsidP="008A427E">
            <w:pPr>
              <w:jc w:val="center"/>
            </w:pPr>
            <w:r w:rsidRPr="000F7686">
              <w:t>M)Categoría para Presupuesto</w:t>
            </w:r>
          </w:p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gridSpan w:val="2"/>
            <w:vMerge w:val="restart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55E99" w:rsidRPr="000F7686" w:rsidRDefault="00855E99" w:rsidP="008A427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55E99" w:rsidRPr="000F7686" w:rsidRDefault="00855E99" w:rsidP="008A427E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855E99" w:rsidRPr="000F7686" w:rsidRDefault="00855E99" w:rsidP="008A427E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524328" w:rsidRPr="000F7686" w:rsidRDefault="00524328" w:rsidP="00524328">
            <w:pPr>
              <w:jc w:val="center"/>
            </w:pP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:rsidR="00524328" w:rsidRPr="000F7686" w:rsidRDefault="00524328" w:rsidP="00524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center"/>
            </w:pPr>
            <w:r w:rsidRPr="000F7686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24328" w:rsidRPr="000F7686" w:rsidRDefault="00524328" w:rsidP="00524328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24328" w:rsidRPr="000F7686" w:rsidRDefault="000A7870" w:rsidP="00524328">
            <w:pPr>
              <w:jc w:val="center"/>
            </w:pPr>
            <w:r w:rsidRPr="000F7686">
              <w:t>X</w:t>
            </w:r>
          </w:p>
        </w:tc>
      </w:tr>
    </w:tbl>
    <w:p w:rsidR="00E85231" w:rsidRPr="000F7686" w:rsidRDefault="00E85231" w:rsidP="00501E0C"/>
    <w:p w:rsidR="00501E0C" w:rsidRPr="000F7686" w:rsidRDefault="00501E0C" w:rsidP="00501E0C">
      <w:r w:rsidRPr="000F7686">
        <w:br w:type="page"/>
      </w:r>
    </w:p>
    <w:p w:rsidR="00501E0C" w:rsidRPr="000F7686" w:rsidRDefault="00501E0C" w:rsidP="00501E0C"/>
    <w:p w:rsidR="00063DA0" w:rsidRPr="000F7686" w:rsidRDefault="00063DA0" w:rsidP="00501E0C">
      <w:pPr>
        <w:rPr>
          <w:b/>
          <w:sz w:val="16"/>
          <w:szCs w:val="16"/>
        </w:rPr>
      </w:pPr>
    </w:p>
    <w:p w:rsidR="00501E0C" w:rsidRPr="000F7686" w:rsidRDefault="00501E0C" w:rsidP="00501E0C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53"/>
        <w:gridCol w:w="1352"/>
        <w:gridCol w:w="897"/>
        <w:gridCol w:w="496"/>
        <w:gridCol w:w="1393"/>
        <w:gridCol w:w="1531"/>
        <w:gridCol w:w="1115"/>
        <w:gridCol w:w="1332"/>
        <w:gridCol w:w="1314"/>
      </w:tblGrid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501E0C" w:rsidRPr="000F7686" w:rsidRDefault="00501E0C" w:rsidP="00BA7014">
            <w:r w:rsidRPr="000F7686"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501E0C" w:rsidRPr="000F7686" w:rsidRDefault="00223613" w:rsidP="00223613">
            <w:r w:rsidRPr="000F7686">
              <w:t>Personal Operativo que desempeña sus funciones de atención, vigilancia y de reacción de manera leal, oportuna, eficaz y eficientemente.</w:t>
            </w:r>
          </w:p>
        </w:tc>
      </w:tr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501E0C" w:rsidRPr="000F7686" w:rsidRDefault="00501E0C" w:rsidP="00BA7014">
            <w:r w:rsidRPr="000F7686"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501E0C" w:rsidRPr="000F7686" w:rsidRDefault="00F25258" w:rsidP="00937FA6">
            <w:pPr>
              <w:jc w:val="both"/>
              <w:rPr>
                <w:i/>
                <w:sz w:val="16"/>
              </w:rPr>
            </w:pPr>
            <w:r w:rsidRPr="000F7686">
              <w:rPr>
                <w:sz w:val="20"/>
                <w:szCs w:val="20"/>
              </w:rPr>
              <w:t>Elaboración, Presentación y Autorización del Proyecto Ejecutivo.</w:t>
            </w:r>
            <w:r w:rsidR="00C30FB5">
              <w:rPr>
                <w:sz w:val="20"/>
                <w:szCs w:val="20"/>
              </w:rPr>
              <w:t xml:space="preserve"> </w:t>
            </w:r>
            <w:r w:rsidRPr="000F7686">
              <w:rPr>
                <w:sz w:val="20"/>
                <w:szCs w:val="20"/>
              </w:rPr>
              <w:t>Supervisiones constantes y sorpresivas.</w:t>
            </w:r>
            <w:r w:rsidR="00C30FB5">
              <w:rPr>
                <w:sz w:val="20"/>
                <w:szCs w:val="20"/>
              </w:rPr>
              <w:t xml:space="preserve"> </w:t>
            </w:r>
            <w:r w:rsidRPr="000F7686">
              <w:rPr>
                <w:sz w:val="20"/>
                <w:szCs w:val="20"/>
              </w:rPr>
              <w:t>Monitoreo del personal operativo de inicio a fin de turno tanto de la Central de Comunicaciones como de sus jefes inmediatos y supervisores.</w:t>
            </w:r>
            <w:r w:rsidR="00C30FB5">
              <w:rPr>
                <w:sz w:val="20"/>
                <w:szCs w:val="20"/>
              </w:rPr>
              <w:t xml:space="preserve"> </w:t>
            </w:r>
            <w:r w:rsidRPr="000F7686">
              <w:rPr>
                <w:sz w:val="20"/>
                <w:szCs w:val="20"/>
              </w:rPr>
              <w:t>Incrementar el número de personal supervisor para estar más al pendiente.</w:t>
            </w:r>
            <w:r w:rsidR="00C30FB5">
              <w:rPr>
                <w:sz w:val="20"/>
                <w:szCs w:val="20"/>
              </w:rPr>
              <w:t xml:space="preserve"> </w:t>
            </w:r>
            <w:r w:rsidRPr="000F7686">
              <w:rPr>
                <w:sz w:val="20"/>
                <w:szCs w:val="20"/>
              </w:rPr>
              <w:t>Acompañamiento de personal de UCIP para evitar errores en el procedimiento del servicio.</w:t>
            </w:r>
            <w:r w:rsidR="00C30FB5">
              <w:rPr>
                <w:sz w:val="20"/>
                <w:szCs w:val="20"/>
              </w:rPr>
              <w:t xml:space="preserve"> </w:t>
            </w:r>
            <w:r w:rsidRPr="000F7686">
              <w:rPr>
                <w:sz w:val="20"/>
                <w:szCs w:val="20"/>
              </w:rPr>
              <w:t>Capacitación constante del elemento operativo.</w:t>
            </w:r>
            <w:r w:rsidR="00C30FB5">
              <w:rPr>
                <w:sz w:val="20"/>
                <w:szCs w:val="20"/>
              </w:rPr>
              <w:t xml:space="preserve"> </w:t>
            </w:r>
            <w:r w:rsidRPr="000F7686">
              <w:rPr>
                <w:sz w:val="20"/>
                <w:szCs w:val="20"/>
              </w:rPr>
              <w:t>Presentación de informe trimestral.</w:t>
            </w:r>
          </w:p>
        </w:tc>
      </w:tr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501E0C" w:rsidRPr="000F7686" w:rsidRDefault="00501E0C" w:rsidP="00BA7014">
            <w:r w:rsidRPr="000F7686"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501E0C" w:rsidRPr="000F7686" w:rsidRDefault="00501E0C" w:rsidP="00BA7014"/>
        </w:tc>
      </w:tr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501E0C" w:rsidRPr="000F7686" w:rsidRDefault="00501E0C" w:rsidP="00BA7014">
            <w:r w:rsidRPr="000F7686"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501E0C" w:rsidRPr="000F7686" w:rsidRDefault="00501E0C" w:rsidP="00BA7014"/>
        </w:tc>
      </w:tr>
      <w:tr w:rsidR="000F7686" w:rsidRPr="000F7686" w:rsidTr="00743422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501E0C" w:rsidRPr="000F7686" w:rsidRDefault="00501E0C" w:rsidP="00BA7014">
            <w:r w:rsidRPr="000F7686"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>Corto Plazo</w:t>
            </w:r>
          </w:p>
        </w:tc>
        <w:tc>
          <w:tcPr>
            <w:tcW w:w="1338" w:type="pct"/>
            <w:gridSpan w:val="3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>Mediano Plazo</w:t>
            </w:r>
          </w:p>
        </w:tc>
        <w:tc>
          <w:tcPr>
            <w:tcW w:w="1471" w:type="pct"/>
            <w:gridSpan w:val="3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743422">
        <w:tc>
          <w:tcPr>
            <w:tcW w:w="1311" w:type="pct"/>
            <w:vMerge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501E0C" w:rsidRPr="000F7686" w:rsidRDefault="00195602" w:rsidP="00BA7014">
            <w:pPr>
              <w:jc w:val="center"/>
            </w:pPr>
            <w:r w:rsidRPr="000F7686">
              <w:t>X</w:t>
            </w:r>
          </w:p>
        </w:tc>
        <w:tc>
          <w:tcPr>
            <w:tcW w:w="1338" w:type="pct"/>
            <w:gridSpan w:val="3"/>
            <w:shd w:val="clear" w:color="auto" w:fill="auto"/>
          </w:tcPr>
          <w:p w:rsidR="00501E0C" w:rsidRPr="000F7686" w:rsidRDefault="00501E0C" w:rsidP="00BA7014">
            <w:pPr>
              <w:jc w:val="center"/>
            </w:pPr>
          </w:p>
        </w:tc>
        <w:tc>
          <w:tcPr>
            <w:tcW w:w="1471" w:type="pct"/>
            <w:gridSpan w:val="3"/>
            <w:shd w:val="clear" w:color="auto" w:fill="auto"/>
          </w:tcPr>
          <w:p w:rsidR="00501E0C" w:rsidRPr="000F7686" w:rsidRDefault="00501E0C" w:rsidP="00BA7014">
            <w:pPr>
              <w:jc w:val="center"/>
            </w:pPr>
          </w:p>
        </w:tc>
      </w:tr>
      <w:tr w:rsidR="000F7686" w:rsidRPr="000F7686" w:rsidTr="00AD2F18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501E0C" w:rsidRPr="000F7686" w:rsidRDefault="00501E0C" w:rsidP="00BA7014">
            <w:r w:rsidRPr="000F7686">
              <w:t xml:space="preserve">Nombre del Indicador </w:t>
            </w:r>
          </w:p>
        </w:tc>
        <w:tc>
          <w:tcPr>
            <w:tcW w:w="529" w:type="pct"/>
            <w:shd w:val="clear" w:color="auto" w:fill="A6A6A6" w:themeFill="background1" w:themeFillShade="A6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Dimensión a medir </w:t>
            </w:r>
          </w:p>
        </w:tc>
        <w:tc>
          <w:tcPr>
            <w:tcW w:w="545" w:type="pct"/>
            <w:gridSpan w:val="2"/>
            <w:vMerge w:val="restart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>Método del calculo</w:t>
            </w:r>
          </w:p>
        </w:tc>
        <w:tc>
          <w:tcPr>
            <w:tcW w:w="599" w:type="pct"/>
            <w:vMerge w:val="restart"/>
            <w:shd w:val="clear" w:color="auto" w:fill="A6A6A6" w:themeFill="background1" w:themeFillShade="A6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 xml:space="preserve">Frecuencia de medida </w:t>
            </w:r>
          </w:p>
        </w:tc>
        <w:tc>
          <w:tcPr>
            <w:tcW w:w="521" w:type="pct"/>
            <w:vMerge w:val="restart"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  <w:r w:rsidRPr="000F7686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Meta programada</w:t>
            </w:r>
          </w:p>
        </w:tc>
      </w:tr>
      <w:tr w:rsidR="000F7686" w:rsidRPr="000F7686" w:rsidTr="00AD2F18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501E0C" w:rsidRPr="000F7686" w:rsidRDefault="00501E0C" w:rsidP="00BA7014"/>
        </w:tc>
        <w:tc>
          <w:tcPr>
            <w:tcW w:w="529" w:type="pct"/>
            <w:shd w:val="clear" w:color="auto" w:fill="A6A6A6" w:themeFill="background1" w:themeFillShade="A6"/>
          </w:tcPr>
          <w:p w:rsidR="00501E0C" w:rsidRPr="000F7686" w:rsidRDefault="00501E0C" w:rsidP="00E123FE">
            <w:pPr>
              <w:pStyle w:val="Prrafodelista"/>
              <w:numPr>
                <w:ilvl w:val="0"/>
                <w:numId w:val="6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501E0C" w:rsidRPr="000F7686" w:rsidRDefault="00501E0C" w:rsidP="00E123FE">
            <w:pPr>
              <w:pStyle w:val="Prrafodelista"/>
              <w:numPr>
                <w:ilvl w:val="0"/>
                <w:numId w:val="6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501E0C" w:rsidRPr="000F7686" w:rsidRDefault="00501E0C" w:rsidP="00E123FE">
            <w:pPr>
              <w:pStyle w:val="Prrafodelista"/>
              <w:numPr>
                <w:ilvl w:val="0"/>
                <w:numId w:val="6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501E0C" w:rsidRPr="000F7686" w:rsidRDefault="00501E0C" w:rsidP="00E123FE">
            <w:pPr>
              <w:pStyle w:val="Prrafodelista"/>
              <w:numPr>
                <w:ilvl w:val="0"/>
                <w:numId w:val="6"/>
              </w:numPr>
              <w:ind w:left="417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5" w:type="pct"/>
            <w:gridSpan w:val="2"/>
            <w:vMerge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</w:p>
        </w:tc>
        <w:tc>
          <w:tcPr>
            <w:tcW w:w="599" w:type="pct"/>
            <w:vMerge/>
            <w:shd w:val="clear" w:color="auto" w:fill="A6A6A6" w:themeFill="background1" w:themeFillShade="A6"/>
          </w:tcPr>
          <w:p w:rsidR="00501E0C" w:rsidRPr="000F7686" w:rsidRDefault="00501E0C" w:rsidP="00BA7014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</w:p>
        </w:tc>
        <w:tc>
          <w:tcPr>
            <w:tcW w:w="521" w:type="pct"/>
            <w:vMerge/>
            <w:shd w:val="clear" w:color="auto" w:fill="D9D9D9" w:themeFill="background1" w:themeFillShade="D9"/>
          </w:tcPr>
          <w:p w:rsidR="00501E0C" w:rsidRPr="000F7686" w:rsidRDefault="00501E0C" w:rsidP="00BA7014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501E0C" w:rsidRPr="000F7686" w:rsidRDefault="00501E0C" w:rsidP="00BA7014">
            <w:pPr>
              <w:jc w:val="center"/>
            </w:pPr>
          </w:p>
        </w:tc>
      </w:tr>
      <w:tr w:rsidR="000F7686" w:rsidRPr="000F7686" w:rsidTr="00AD2F18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D" w:rsidRPr="000F7686" w:rsidRDefault="00B9318C" w:rsidP="008106DD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743422" w:rsidRPr="000F7686">
              <w:rPr>
                <w:rFonts w:ascii="Calibri" w:eastAsia="Times New Roman" w:hAnsi="Calibri" w:cs="Calibri"/>
              </w:rPr>
              <w:t>Supervisiones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D" w:rsidRPr="000F7686" w:rsidRDefault="008106DD" w:rsidP="008106DD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D" w:rsidRPr="000F7686" w:rsidRDefault="00B9318C" w:rsidP="00E91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 xml:space="preserve">Número de </w:t>
            </w:r>
            <w:r w:rsidR="00E918E8" w:rsidRPr="000F7686">
              <w:rPr>
                <w:rFonts w:ascii="Calibri" w:hAnsi="Calibri" w:cs="Calibri"/>
                <w:sz w:val="20"/>
                <w:szCs w:val="20"/>
              </w:rPr>
              <w:t xml:space="preserve">Supervisiones Internas por </w:t>
            </w:r>
            <w:r w:rsidR="006622C9" w:rsidRPr="000F7686"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r w:rsidR="00E918E8" w:rsidRPr="000F7686">
              <w:rPr>
                <w:rFonts w:ascii="Calibri" w:hAnsi="Calibri" w:cs="Calibri"/>
                <w:sz w:val="20"/>
                <w:szCs w:val="20"/>
              </w:rPr>
              <w:t>Sectores, validadas en fatigas.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6DD" w:rsidRPr="000F7686" w:rsidRDefault="00B9318C" w:rsidP="00B9318C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8106DD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AD2F18" w:rsidRPr="000F7686">
              <w:rPr>
                <w:rFonts w:ascii="Calibri" w:hAnsi="Calibri" w:cs="Calibri"/>
                <w:sz w:val="18"/>
                <w:szCs w:val="18"/>
              </w:rPr>
              <w:t>Supervis</w:t>
            </w:r>
            <w:r w:rsidR="008106DD" w:rsidRPr="000F7686">
              <w:rPr>
                <w:rFonts w:ascii="Calibri" w:hAnsi="Calibri" w:cs="Calibri"/>
                <w:sz w:val="18"/>
                <w:szCs w:val="18"/>
              </w:rPr>
              <w:t>iones</w:t>
            </w:r>
            <w:r w:rsidR="00C30F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106DD" w:rsidRPr="000F7686">
              <w:rPr>
                <w:rFonts w:ascii="Calibri" w:hAnsi="Calibri" w:cs="Calibri"/>
                <w:sz w:val="18"/>
                <w:szCs w:val="18"/>
              </w:rPr>
              <w:t>en el año 2019/</w:t>
            </w:r>
            <w:r w:rsidR="007D63E7" w:rsidRPr="000F7686">
              <w:rPr>
                <w:rFonts w:ascii="Calibri" w:hAnsi="Calibri" w:cs="Calibri"/>
                <w:sz w:val="18"/>
                <w:szCs w:val="18"/>
              </w:rPr>
              <w:t>4,320</w:t>
            </w:r>
            <w:r w:rsidR="008106DD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D2F18" w:rsidRPr="000F7686">
              <w:rPr>
                <w:rFonts w:ascii="Calibri" w:hAnsi="Calibri" w:cs="Calibri"/>
                <w:sz w:val="18"/>
                <w:szCs w:val="18"/>
              </w:rPr>
              <w:t>Supervisiones</w:t>
            </w:r>
            <w:r w:rsidR="007D63E7" w:rsidRPr="000F7686">
              <w:rPr>
                <w:rFonts w:ascii="Calibri" w:hAnsi="Calibri" w:cs="Calibri"/>
                <w:sz w:val="18"/>
                <w:szCs w:val="18"/>
              </w:rPr>
              <w:t>, proyectadas e</w:t>
            </w:r>
            <w:r w:rsidR="008106DD" w:rsidRPr="000F7686">
              <w:rPr>
                <w:rFonts w:ascii="Calibri" w:hAnsi="Calibri" w:cs="Calibri"/>
                <w:sz w:val="18"/>
                <w:szCs w:val="18"/>
              </w:rPr>
              <w:t>n el año 201</w:t>
            </w:r>
            <w:r w:rsidR="007D63E7" w:rsidRPr="000F7686">
              <w:rPr>
                <w:rFonts w:ascii="Calibri" w:hAnsi="Calibri" w:cs="Calibri"/>
                <w:sz w:val="18"/>
                <w:szCs w:val="18"/>
              </w:rPr>
              <w:t>9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8106DD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D" w:rsidRPr="000F7686" w:rsidRDefault="008106DD" w:rsidP="008106DD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D" w:rsidRPr="000F7686" w:rsidRDefault="008106DD" w:rsidP="00810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D" w:rsidRPr="000F7686" w:rsidRDefault="007D63E7" w:rsidP="00AD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AD2F18" w:rsidRPr="000F768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D2F18" w:rsidRPr="000F7686">
              <w:rPr>
                <w:rFonts w:ascii="Calibri" w:hAnsi="Calibri" w:cs="Calibri"/>
                <w:sz w:val="18"/>
                <w:szCs w:val="18"/>
              </w:rPr>
              <w:t>Supervisiones</w:t>
            </w:r>
            <w:r w:rsidR="00AD2F18" w:rsidRPr="000F7686">
              <w:rPr>
                <w:rFonts w:ascii="Calibri" w:hAnsi="Calibri" w:cs="Calibri"/>
                <w:sz w:val="20"/>
                <w:szCs w:val="20"/>
              </w:rPr>
              <w:t xml:space="preserve"> Interna por Sectores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D" w:rsidRPr="000F7686" w:rsidRDefault="00AD2F18" w:rsidP="008106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4,320</w:t>
            </w:r>
            <w:r w:rsidR="007D63E7" w:rsidRPr="000F768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Supervisiones</w:t>
            </w:r>
            <w:r w:rsidRPr="000F7686">
              <w:rPr>
                <w:rFonts w:ascii="Calibri" w:hAnsi="Calibri" w:cs="Calibri"/>
                <w:sz w:val="20"/>
                <w:szCs w:val="20"/>
              </w:rPr>
              <w:t xml:space="preserve"> Interna por Sectores</w:t>
            </w:r>
          </w:p>
        </w:tc>
      </w:tr>
      <w:tr w:rsidR="000F7686" w:rsidRPr="000F7686" w:rsidTr="00743422">
        <w:tc>
          <w:tcPr>
            <w:tcW w:w="2385" w:type="pct"/>
            <w:gridSpan w:val="4"/>
            <w:shd w:val="clear" w:color="auto" w:fill="D9D9D9" w:themeFill="background1" w:themeFillShade="D9"/>
          </w:tcPr>
          <w:p w:rsidR="008106DD" w:rsidRPr="000F7686" w:rsidRDefault="008106DD" w:rsidP="008106DD">
            <w:r w:rsidRPr="000F7686">
              <w:t>Clave presupuestal determinada para seguimiento del gasto.</w:t>
            </w:r>
          </w:p>
        </w:tc>
        <w:tc>
          <w:tcPr>
            <w:tcW w:w="2615" w:type="pct"/>
            <w:gridSpan w:val="5"/>
            <w:shd w:val="clear" w:color="auto" w:fill="FABF8F" w:themeFill="accent6" w:themeFillTint="99"/>
          </w:tcPr>
          <w:p w:rsidR="008106DD" w:rsidRPr="000F7686" w:rsidRDefault="008106DD" w:rsidP="008106DD"/>
        </w:tc>
      </w:tr>
    </w:tbl>
    <w:p w:rsidR="00501E0C" w:rsidRPr="000F7686" w:rsidRDefault="00501E0C" w:rsidP="00501E0C"/>
    <w:p w:rsidR="00501E0C" w:rsidRPr="000F7686" w:rsidRDefault="00501E0C" w:rsidP="00501E0C"/>
    <w:p w:rsidR="00A001C2" w:rsidRPr="000F7686" w:rsidRDefault="00A001C2" w:rsidP="00501E0C">
      <w:pPr>
        <w:rPr>
          <w:b/>
          <w:sz w:val="8"/>
          <w:szCs w:val="8"/>
        </w:rPr>
      </w:pPr>
    </w:p>
    <w:p w:rsidR="00501E0C" w:rsidRPr="000F7686" w:rsidRDefault="00501E0C" w:rsidP="00501E0C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  <w:r w:rsidR="00A001C2" w:rsidRPr="000F7686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9F122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9F122D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01E0C" w:rsidRPr="000F7686" w:rsidRDefault="00501E0C" w:rsidP="00BA7014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9F122D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01E0C" w:rsidRPr="000F7686" w:rsidRDefault="00501E0C" w:rsidP="00BA70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01E0C" w:rsidRPr="000F7686" w:rsidRDefault="00501E0C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9F122D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</w:tcPr>
          <w:p w:rsidR="009F122D" w:rsidRPr="000F7686" w:rsidRDefault="009F122D" w:rsidP="009F122D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Supervisiones constantes y sorpresivas.</w:t>
            </w:r>
          </w:p>
        </w:tc>
        <w:tc>
          <w:tcPr>
            <w:tcW w:w="25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</w:tcPr>
          <w:p w:rsidR="009F122D" w:rsidRPr="000F7686" w:rsidRDefault="009F122D" w:rsidP="009F122D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Monitoreo del personal operativo de inicio a fin de turno tanto de la Central de Comunicaciones como de sus jefes inmediatos y supervisores.</w:t>
            </w:r>
          </w:p>
        </w:tc>
        <w:tc>
          <w:tcPr>
            <w:tcW w:w="25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</w:tcPr>
          <w:p w:rsidR="009F122D" w:rsidRPr="000F7686" w:rsidRDefault="009F122D" w:rsidP="009F122D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Incrementar el número de personal supervisor para estar más al pendiente.</w:t>
            </w:r>
          </w:p>
        </w:tc>
        <w:tc>
          <w:tcPr>
            <w:tcW w:w="25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</w:tcPr>
          <w:p w:rsidR="009F122D" w:rsidRPr="000F7686" w:rsidRDefault="009F122D" w:rsidP="009F122D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Acompañamiento de personal de UCIP para evitar errores en el procedimiento del servicio.</w:t>
            </w:r>
          </w:p>
        </w:tc>
        <w:tc>
          <w:tcPr>
            <w:tcW w:w="25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</w:tcPr>
          <w:p w:rsidR="009F122D" w:rsidRPr="000F7686" w:rsidRDefault="009F122D" w:rsidP="009F122D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Capacitación constante del elemento operativo.</w:t>
            </w:r>
          </w:p>
        </w:tc>
        <w:tc>
          <w:tcPr>
            <w:tcW w:w="25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9F122D" w:rsidRPr="000F7686" w:rsidRDefault="009F122D" w:rsidP="009F122D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9F122D" w:rsidRPr="000F7686" w:rsidTr="009F122D">
        <w:trPr>
          <w:trHeight w:val="57"/>
        </w:trPr>
        <w:tc>
          <w:tcPr>
            <w:tcW w:w="1808" w:type="pct"/>
            <w:shd w:val="clear" w:color="auto" w:fill="auto"/>
          </w:tcPr>
          <w:p w:rsidR="009F122D" w:rsidRPr="000F7686" w:rsidRDefault="009F122D" w:rsidP="009F122D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F122D" w:rsidRPr="000F7686" w:rsidRDefault="009F122D" w:rsidP="009F122D">
            <w:pPr>
              <w:jc w:val="center"/>
            </w:pPr>
            <w:r w:rsidRPr="000F7686">
              <w:t>X</w:t>
            </w:r>
          </w:p>
        </w:tc>
      </w:tr>
    </w:tbl>
    <w:p w:rsidR="00501E0C" w:rsidRPr="000F7686" w:rsidRDefault="00501E0C" w:rsidP="00501E0C">
      <w:pPr>
        <w:rPr>
          <w:i/>
          <w:sz w:val="16"/>
        </w:rPr>
      </w:pPr>
    </w:p>
    <w:p w:rsidR="00501E0C" w:rsidRPr="000F7686" w:rsidRDefault="00501E0C" w:rsidP="00501E0C">
      <w:pPr>
        <w:rPr>
          <w:i/>
          <w:sz w:val="16"/>
        </w:rPr>
      </w:pPr>
    </w:p>
    <w:p w:rsidR="00C30FB5" w:rsidRDefault="00C30FB5" w:rsidP="00C30FB5">
      <w:pPr>
        <w:rPr>
          <w:i/>
          <w:sz w:val="16"/>
        </w:rPr>
      </w:pPr>
    </w:p>
    <w:p w:rsidR="00522EF4" w:rsidRPr="000F7686" w:rsidRDefault="00C30FB5" w:rsidP="00C30FB5">
      <w:pPr>
        <w:tabs>
          <w:tab w:val="left" w:pos="3690"/>
        </w:tabs>
        <w:rPr>
          <w:i/>
          <w:sz w:val="16"/>
        </w:rPr>
      </w:pPr>
      <w:r>
        <w:rPr>
          <w:sz w:val="16"/>
        </w:rPr>
        <w:tab/>
      </w:r>
    </w:p>
    <w:sectPr w:rsidR="00522EF4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31234"/>
    <w:rsid w:val="00332765"/>
    <w:rsid w:val="00334548"/>
    <w:rsid w:val="00336678"/>
    <w:rsid w:val="00353C4B"/>
    <w:rsid w:val="00357432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5C98"/>
    <w:rsid w:val="006B677D"/>
    <w:rsid w:val="006C0CE8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D2D9D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0FB5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17ED"/>
    <w:rsid w:val="00DB342E"/>
    <w:rsid w:val="00DC00D1"/>
    <w:rsid w:val="00DC4108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0E09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9940-CE61-4DBC-9856-570051C1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2019-01-29T19:24:00Z</dcterms:created>
  <dcterms:modified xsi:type="dcterms:W3CDTF">2019-01-29T19:34:00Z</dcterms:modified>
</cp:coreProperties>
</file>