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4A3006" w:rsidRDefault="00985B24" w:rsidP="00985B24">
      <w:pPr>
        <w:rPr>
          <w:b/>
          <w:sz w:val="40"/>
        </w:rPr>
      </w:pPr>
    </w:p>
    <w:p w:rsidR="00F36B75" w:rsidRPr="004A3006" w:rsidRDefault="00F36B75" w:rsidP="00F36B75">
      <w:pPr>
        <w:rPr>
          <w:b/>
          <w:sz w:val="40"/>
        </w:rPr>
      </w:pPr>
    </w:p>
    <w:p w:rsidR="00F36B75" w:rsidRPr="004A3006" w:rsidRDefault="00F36B75" w:rsidP="00F36B75">
      <w:r w:rsidRPr="004A3006">
        <w:rPr>
          <w:b/>
          <w:sz w:val="40"/>
        </w:rPr>
        <w:t>ANEXO 1: DATOS GENERALES</w:t>
      </w:r>
      <w:r w:rsidR="007243CD" w:rsidRPr="004A3006">
        <w:rPr>
          <w:b/>
          <w:sz w:val="40"/>
        </w:rPr>
        <w:t>.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57"/>
        <w:gridCol w:w="726"/>
        <w:gridCol w:w="995"/>
        <w:gridCol w:w="887"/>
        <w:gridCol w:w="1254"/>
        <w:gridCol w:w="2911"/>
        <w:gridCol w:w="31"/>
        <w:gridCol w:w="1276"/>
        <w:gridCol w:w="303"/>
        <w:gridCol w:w="1965"/>
      </w:tblGrid>
      <w:tr w:rsidR="004A3006" w:rsidRPr="004A3006" w:rsidTr="00E77D85">
        <w:tc>
          <w:tcPr>
            <w:tcW w:w="3227" w:type="dxa"/>
            <w:gridSpan w:val="4"/>
            <w:shd w:val="clear" w:color="auto" w:fill="D9D9D9" w:themeFill="background1" w:themeFillShade="D9"/>
          </w:tcPr>
          <w:p w:rsidR="00F36B75" w:rsidRPr="004A3006" w:rsidRDefault="00F36B75" w:rsidP="008F297E">
            <w:r w:rsidRPr="004A3006">
              <w:t xml:space="preserve">A)Nombre del programa / proyecto / servicio / campaña   </w:t>
            </w:r>
          </w:p>
        </w:tc>
        <w:tc>
          <w:tcPr>
            <w:tcW w:w="6804" w:type="dxa"/>
            <w:gridSpan w:val="6"/>
          </w:tcPr>
          <w:p w:rsidR="00F36B75" w:rsidRPr="004A3006" w:rsidRDefault="00F36B75" w:rsidP="0050337E">
            <w:pPr>
              <w:jc w:val="both"/>
            </w:pPr>
            <w:r w:rsidRPr="004A3006">
              <w:t>2_“</w:t>
            </w:r>
            <w:r w:rsidR="004A3006" w:rsidRPr="004A3006">
              <w:t>Queremos Cuidarte</w:t>
            </w:r>
            <w:r w:rsidRPr="004A3006">
              <w:t>”  Apoyo económico a personas de 60 a 64 años.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36B75" w:rsidRPr="004A3006" w:rsidRDefault="00F36B75" w:rsidP="008F297E">
            <w:r w:rsidRPr="004A3006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F36B75" w:rsidRPr="004A3006" w:rsidRDefault="00F36B75" w:rsidP="008F297E">
            <w:pPr>
              <w:jc w:val="both"/>
            </w:pPr>
          </w:p>
        </w:tc>
      </w:tr>
      <w:tr w:rsidR="004A3006" w:rsidRPr="004A3006" w:rsidTr="00E77D85">
        <w:tc>
          <w:tcPr>
            <w:tcW w:w="3227" w:type="dxa"/>
            <w:gridSpan w:val="4"/>
            <w:shd w:val="clear" w:color="auto" w:fill="D9D9D9" w:themeFill="background1" w:themeFillShade="D9"/>
          </w:tcPr>
          <w:p w:rsidR="00F36B75" w:rsidRPr="004A3006" w:rsidRDefault="00F36B75" w:rsidP="008F297E">
            <w:r w:rsidRPr="004A3006">
              <w:t>B)Dirección o área responsable</w:t>
            </w:r>
          </w:p>
        </w:tc>
        <w:tc>
          <w:tcPr>
            <w:tcW w:w="6804" w:type="dxa"/>
            <w:gridSpan w:val="6"/>
          </w:tcPr>
          <w:p w:rsidR="00F36B75" w:rsidRPr="004A3006" w:rsidRDefault="00F36B75" w:rsidP="008F297E">
            <w:pPr>
              <w:jc w:val="both"/>
            </w:pPr>
            <w:r w:rsidRPr="004A3006">
              <w:t>Coordinación General de Construcción de la Comunidad</w:t>
            </w:r>
            <w:r w:rsidR="0082252B" w:rsidRPr="004A3006">
              <w:t>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36B75" w:rsidRPr="004A3006" w:rsidRDefault="00F36B75" w:rsidP="008F297E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F36B75" w:rsidRPr="004A3006" w:rsidRDefault="00F36B75" w:rsidP="008F297E">
            <w:pPr>
              <w:jc w:val="both"/>
            </w:pPr>
          </w:p>
        </w:tc>
      </w:tr>
      <w:tr w:rsidR="004A3006" w:rsidRPr="004A3006" w:rsidTr="00E77D85">
        <w:trPr>
          <w:trHeight w:val="269"/>
        </w:trPr>
        <w:tc>
          <w:tcPr>
            <w:tcW w:w="3227" w:type="dxa"/>
            <w:gridSpan w:val="4"/>
            <w:vMerge w:val="restart"/>
            <w:shd w:val="clear" w:color="auto" w:fill="D9D9D9" w:themeFill="background1" w:themeFillShade="D9"/>
          </w:tcPr>
          <w:p w:rsidR="00F36B75" w:rsidRPr="004A3006" w:rsidRDefault="00F36B75" w:rsidP="008F297E">
            <w:r w:rsidRPr="004A3006">
              <w:t xml:space="preserve">C)Problemática que atiende la propuesta </w:t>
            </w:r>
          </w:p>
        </w:tc>
        <w:tc>
          <w:tcPr>
            <w:tcW w:w="6804" w:type="dxa"/>
            <w:gridSpan w:val="6"/>
            <w:vMerge w:val="restart"/>
          </w:tcPr>
          <w:p w:rsidR="00F36B75" w:rsidRPr="004A3006" w:rsidRDefault="00F36B75" w:rsidP="001E4F32">
            <w:pPr>
              <w:jc w:val="both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>El fenómeno del envejecimiento poblacional cobra cada vez mayor relevancia a nivel nacional, estatal y municipal debido al aumento de la población, la situación de alta vulnerabilidad que padecen las y los adultos mayores, especialmente los que se encuentran fuera de los esquemas institucionales de seguridad social y pensiones, ellos presentan una serie de limitantes para el desempeño de su vida diaria.</w:t>
            </w:r>
            <w:r w:rsidR="0082252B" w:rsidRPr="004A3006">
              <w:rPr>
                <w:sz w:val="20"/>
                <w:szCs w:val="20"/>
              </w:rPr>
              <w:t xml:space="preserve"> </w:t>
            </w:r>
            <w:r w:rsidRPr="004A3006">
              <w:rPr>
                <w:sz w:val="20"/>
                <w:szCs w:val="20"/>
              </w:rPr>
              <w:t xml:space="preserve">De acuerdo con el Instituto de Información Estadística y Geográfica de Jalisco, (IIEG). En nuestro </w:t>
            </w:r>
            <w:r w:rsidR="001E4F32" w:rsidRPr="004A3006">
              <w:rPr>
                <w:sz w:val="20"/>
                <w:szCs w:val="20"/>
              </w:rPr>
              <w:t>M</w:t>
            </w:r>
            <w:r w:rsidRPr="004A3006">
              <w:rPr>
                <w:sz w:val="20"/>
                <w:szCs w:val="20"/>
              </w:rPr>
              <w:t>unicipio de San Pedro Tlaquepaque, de acuerdo con la en</w:t>
            </w:r>
            <w:r w:rsidR="00EE10E8" w:rsidRPr="004A3006">
              <w:rPr>
                <w:sz w:val="20"/>
                <w:szCs w:val="20"/>
              </w:rPr>
              <w:t>cuesta intercensal 2015, señalan</w:t>
            </w:r>
            <w:r w:rsidRPr="004A3006">
              <w:rPr>
                <w:sz w:val="20"/>
                <w:szCs w:val="20"/>
              </w:rPr>
              <w:t xml:space="preserve"> 18,015 personas que se encuentran entre los 60 y 64 años de edad.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36B75" w:rsidRPr="004A3006" w:rsidRDefault="00F36B75" w:rsidP="008F297E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F36B75" w:rsidRPr="004A3006" w:rsidRDefault="00F36B75" w:rsidP="008F297E">
            <w:pPr>
              <w:jc w:val="both"/>
            </w:pPr>
          </w:p>
        </w:tc>
      </w:tr>
      <w:tr w:rsidR="004A3006" w:rsidRPr="004A3006" w:rsidTr="00E77D85">
        <w:trPr>
          <w:trHeight w:val="385"/>
        </w:trPr>
        <w:tc>
          <w:tcPr>
            <w:tcW w:w="3227" w:type="dxa"/>
            <w:gridSpan w:val="4"/>
            <w:vMerge/>
            <w:shd w:val="clear" w:color="auto" w:fill="D9D9D9" w:themeFill="background1" w:themeFillShade="D9"/>
          </w:tcPr>
          <w:p w:rsidR="00F36B75" w:rsidRPr="004A3006" w:rsidRDefault="00F36B75" w:rsidP="008F297E"/>
        </w:tc>
        <w:tc>
          <w:tcPr>
            <w:tcW w:w="6804" w:type="dxa"/>
            <w:gridSpan w:val="6"/>
            <w:vMerge/>
          </w:tcPr>
          <w:p w:rsidR="00F36B75" w:rsidRPr="004A3006" w:rsidRDefault="00F36B75" w:rsidP="008F297E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36B75" w:rsidRPr="004A3006" w:rsidRDefault="00F36B75" w:rsidP="008F297E">
            <w:r w:rsidRPr="004A3006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F36B75" w:rsidRPr="004A3006" w:rsidRDefault="00F36B75" w:rsidP="008F297E">
            <w:pPr>
              <w:jc w:val="both"/>
            </w:pPr>
          </w:p>
        </w:tc>
      </w:tr>
      <w:tr w:rsidR="004A3006" w:rsidRPr="004A3006" w:rsidTr="00E77D85">
        <w:trPr>
          <w:trHeight w:val="498"/>
        </w:trPr>
        <w:tc>
          <w:tcPr>
            <w:tcW w:w="3227" w:type="dxa"/>
            <w:gridSpan w:val="4"/>
            <w:shd w:val="clear" w:color="auto" w:fill="D9D9D9" w:themeFill="background1" w:themeFillShade="D9"/>
          </w:tcPr>
          <w:p w:rsidR="00EE10E8" w:rsidRPr="004A3006" w:rsidRDefault="00EE10E8" w:rsidP="008F297E">
            <w:pPr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804" w:type="dxa"/>
            <w:gridSpan w:val="6"/>
          </w:tcPr>
          <w:p w:rsidR="008A698F" w:rsidRPr="004A3006" w:rsidRDefault="008A698F" w:rsidP="0050337E">
            <w:pPr>
              <w:jc w:val="both"/>
            </w:pPr>
            <w:r w:rsidRPr="004A3006">
              <w:t xml:space="preserve">Todo el municipio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E10E8" w:rsidRPr="004A3006" w:rsidRDefault="00EE10E8" w:rsidP="008F297E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EE10E8" w:rsidRPr="004A3006" w:rsidRDefault="00EE10E8" w:rsidP="008F297E">
            <w:pPr>
              <w:jc w:val="both"/>
            </w:pPr>
          </w:p>
        </w:tc>
      </w:tr>
      <w:tr w:rsidR="004A3006" w:rsidRPr="004A3006" w:rsidTr="00E77D85">
        <w:tc>
          <w:tcPr>
            <w:tcW w:w="3227" w:type="dxa"/>
            <w:gridSpan w:val="4"/>
            <w:shd w:val="clear" w:color="auto" w:fill="D9D9D9" w:themeFill="background1" w:themeFillShade="D9"/>
          </w:tcPr>
          <w:p w:rsidR="00F36B75" w:rsidRPr="004A3006" w:rsidRDefault="00F36B75" w:rsidP="008F297E">
            <w:pPr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804" w:type="dxa"/>
            <w:gridSpan w:val="6"/>
          </w:tcPr>
          <w:p w:rsidR="00F36B75" w:rsidRPr="004A3006" w:rsidRDefault="00F36B75" w:rsidP="008F297E">
            <w:pPr>
              <w:jc w:val="both"/>
            </w:pPr>
            <w:r w:rsidRPr="004A3006">
              <w:t>Lic. Mirna Citlalli Amaya de Luna</w:t>
            </w:r>
            <w:r w:rsidR="00FB5F53" w:rsidRPr="004A3006">
              <w:t>.</w:t>
            </w:r>
          </w:p>
          <w:p w:rsidR="00F36B75" w:rsidRPr="004A3006" w:rsidRDefault="00F36B75" w:rsidP="008F297E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36B75" w:rsidRPr="004A3006" w:rsidRDefault="00F36B75" w:rsidP="008F297E">
            <w:r w:rsidRPr="004A3006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F36B75" w:rsidRPr="004A3006" w:rsidRDefault="00F36B75" w:rsidP="008F297E">
            <w:pPr>
              <w:jc w:val="both"/>
            </w:pPr>
          </w:p>
        </w:tc>
      </w:tr>
      <w:tr w:rsidR="004A3006" w:rsidRPr="004A3006" w:rsidTr="00E77D85">
        <w:trPr>
          <w:trHeight w:val="503"/>
        </w:trPr>
        <w:tc>
          <w:tcPr>
            <w:tcW w:w="3227" w:type="dxa"/>
            <w:gridSpan w:val="4"/>
            <w:shd w:val="clear" w:color="auto" w:fill="D9D9D9" w:themeFill="background1" w:themeFillShade="D9"/>
          </w:tcPr>
          <w:p w:rsidR="00F36B75" w:rsidRPr="004A3006" w:rsidRDefault="00F36B75" w:rsidP="008F297E">
            <w:r w:rsidRPr="004A3006">
              <w:t>F)Objetivo específico</w:t>
            </w:r>
          </w:p>
        </w:tc>
        <w:tc>
          <w:tcPr>
            <w:tcW w:w="6804" w:type="dxa"/>
            <w:gridSpan w:val="6"/>
          </w:tcPr>
          <w:p w:rsidR="00F36B75" w:rsidRPr="004A3006" w:rsidRDefault="008A0BE5" w:rsidP="001E4F32">
            <w:pPr>
              <w:jc w:val="both"/>
            </w:pPr>
            <w:r w:rsidRPr="004A3006">
              <w:rPr>
                <w:lang w:val="es-ES"/>
              </w:rPr>
              <w:t>Brindar apoyo económico</w:t>
            </w:r>
            <w:r w:rsidR="00F36B75" w:rsidRPr="004A3006">
              <w:rPr>
                <w:lang w:val="es-ES"/>
              </w:rPr>
              <w:t xml:space="preserve"> </w:t>
            </w:r>
            <w:r w:rsidRPr="004A3006">
              <w:rPr>
                <w:lang w:val="es-ES"/>
              </w:rPr>
              <w:t>a</w:t>
            </w:r>
            <w:r w:rsidR="00F36B75" w:rsidRPr="004A3006">
              <w:rPr>
                <w:lang w:val="es-ES"/>
              </w:rPr>
              <w:t xml:space="preserve"> la población en situación de carencia o pobreza, mediante </w:t>
            </w:r>
            <w:r w:rsidR="001E4F32" w:rsidRPr="004A3006">
              <w:rPr>
                <w:lang w:val="es-ES"/>
              </w:rPr>
              <w:t>un apoyo económico</w:t>
            </w:r>
            <w:r w:rsidR="00F36B75" w:rsidRPr="004A3006">
              <w:rPr>
                <w:lang w:val="es-ES"/>
              </w:rPr>
              <w:t xml:space="preserve"> </w:t>
            </w:r>
            <w:r w:rsidR="001E4F32" w:rsidRPr="004A3006">
              <w:t xml:space="preserve">a personas de 60 a 64 años que </w:t>
            </w:r>
            <w:r w:rsidR="00F36B75" w:rsidRPr="004A3006">
              <w:rPr>
                <w:lang w:val="es-ES"/>
              </w:rPr>
              <w:t>no reciban una pen</w:t>
            </w:r>
            <w:r w:rsidR="001E4F32" w:rsidRPr="004A3006">
              <w:rPr>
                <w:lang w:val="es-ES"/>
              </w:rPr>
              <w:t>sión o jubilación, y c</w:t>
            </w:r>
            <w:r w:rsidR="00F36B75" w:rsidRPr="004A3006">
              <w:rPr>
                <w:lang w:val="es-ES"/>
              </w:rPr>
              <w:t>ontribuir a la disminución del índice de pobreza alimentaria</w:t>
            </w:r>
            <w:r w:rsidR="001E4F32" w:rsidRPr="004A3006">
              <w:rPr>
                <w:lang w:val="es-ES"/>
              </w:rPr>
              <w:t xml:space="preserve"> y</w:t>
            </w:r>
            <w:r w:rsidR="00F36B75" w:rsidRPr="004A3006">
              <w:rPr>
                <w:lang w:val="es-ES"/>
              </w:rPr>
              <w:t xml:space="preserve"> generar una mayor equidad social.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36B75" w:rsidRPr="004A3006" w:rsidRDefault="00F36B75" w:rsidP="008F297E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F36B75" w:rsidRPr="004A3006" w:rsidRDefault="00F36B75" w:rsidP="008F297E">
            <w:pPr>
              <w:jc w:val="both"/>
            </w:pPr>
          </w:p>
        </w:tc>
      </w:tr>
      <w:tr w:rsidR="004A3006" w:rsidRPr="004A3006" w:rsidTr="00E77D85">
        <w:tc>
          <w:tcPr>
            <w:tcW w:w="3227" w:type="dxa"/>
            <w:gridSpan w:val="4"/>
            <w:shd w:val="clear" w:color="auto" w:fill="D9D9D9" w:themeFill="background1" w:themeFillShade="D9"/>
          </w:tcPr>
          <w:p w:rsidR="00EE10E8" w:rsidRPr="004A3006" w:rsidRDefault="00EE10E8" w:rsidP="008F297E">
            <w:pPr>
              <w:pStyle w:val="Sinespaciado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348" w:type="dxa"/>
            <w:gridSpan w:val="9"/>
          </w:tcPr>
          <w:p w:rsidR="008A698F" w:rsidRPr="004A3006" w:rsidRDefault="008A698F" w:rsidP="0050337E">
            <w:pPr>
              <w:jc w:val="both"/>
            </w:pPr>
            <w:r w:rsidRPr="004A3006">
              <w:rPr>
                <w:sz w:val="20"/>
                <w:szCs w:val="20"/>
              </w:rPr>
              <w:t>Personas adultas mayores de 60 y 64 años de edad</w:t>
            </w:r>
          </w:p>
        </w:tc>
      </w:tr>
      <w:tr w:rsidR="004A3006" w:rsidRPr="004A3006" w:rsidTr="008A0BE5">
        <w:tc>
          <w:tcPr>
            <w:tcW w:w="3953" w:type="dxa"/>
            <w:gridSpan w:val="5"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  <w:r w:rsidRPr="004A3006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  <w:r w:rsidRPr="004A3006">
              <w:t>I)Beneficiarios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  <w:r w:rsidRPr="004A3006">
              <w:t>J)Fecha de Inicio</w:t>
            </w:r>
          </w:p>
        </w:tc>
        <w:tc>
          <w:tcPr>
            <w:tcW w:w="3575" w:type="dxa"/>
            <w:gridSpan w:val="4"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  <w:r w:rsidRPr="004A3006">
              <w:t>K)Fecha de Cierre</w:t>
            </w:r>
          </w:p>
        </w:tc>
      </w:tr>
      <w:tr w:rsidR="004A3006" w:rsidRPr="004A3006" w:rsidTr="008A0BE5">
        <w:tc>
          <w:tcPr>
            <w:tcW w:w="1057" w:type="dxa"/>
            <w:shd w:val="clear" w:color="auto" w:fill="D9D9D9" w:themeFill="background1" w:themeFillShade="D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D34D08" w:rsidRPr="004A3006" w:rsidRDefault="00D34D08" w:rsidP="0050337E">
            <w:pPr>
              <w:jc w:val="center"/>
            </w:pPr>
            <w:r w:rsidRPr="004A3006">
              <w:t>01 Octubre 2018</w:t>
            </w:r>
          </w:p>
        </w:tc>
        <w:tc>
          <w:tcPr>
            <w:tcW w:w="3575" w:type="dxa"/>
            <w:gridSpan w:val="4"/>
            <w:vMerge w:val="restart"/>
            <w:shd w:val="clear" w:color="auto" w:fill="auto"/>
          </w:tcPr>
          <w:p w:rsidR="00D34D08" w:rsidRPr="004A3006" w:rsidRDefault="00D34D08" w:rsidP="0050337E">
            <w:pPr>
              <w:jc w:val="center"/>
            </w:pPr>
            <w:r w:rsidRPr="004A3006">
              <w:t>30 Septiembre 2019</w:t>
            </w:r>
          </w:p>
        </w:tc>
      </w:tr>
      <w:tr w:rsidR="004A3006" w:rsidRPr="004A3006" w:rsidTr="008A0BE5">
        <w:tc>
          <w:tcPr>
            <w:tcW w:w="1057" w:type="dxa"/>
            <w:shd w:val="clear" w:color="auto" w:fill="FFFFFF" w:themeFill="background1"/>
          </w:tcPr>
          <w:p w:rsidR="00D34D08" w:rsidRPr="004A3006" w:rsidRDefault="00596455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34D08" w:rsidRPr="004A3006" w:rsidRDefault="008F78E1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 xml:space="preserve">Falta </w:t>
            </w:r>
            <w:r w:rsidR="008A698F" w:rsidRPr="004A3006">
              <w:rPr>
                <w:sz w:val="20"/>
                <w:szCs w:val="20"/>
              </w:rPr>
              <w:t>Nº</w:t>
            </w:r>
          </w:p>
        </w:tc>
        <w:tc>
          <w:tcPr>
            <w:tcW w:w="887" w:type="dxa"/>
            <w:shd w:val="clear" w:color="auto" w:fill="FFFFFF" w:themeFill="background1"/>
          </w:tcPr>
          <w:p w:rsidR="00D34D08" w:rsidRPr="004A3006" w:rsidRDefault="008F78E1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>Falta Nº</w:t>
            </w:r>
          </w:p>
        </w:tc>
        <w:tc>
          <w:tcPr>
            <w:tcW w:w="1254" w:type="dxa"/>
            <w:shd w:val="clear" w:color="auto" w:fill="FFFFFF" w:themeFill="background1"/>
          </w:tcPr>
          <w:p w:rsidR="00D34D08" w:rsidRPr="004A3006" w:rsidRDefault="00D34D08" w:rsidP="008F297E">
            <w:pPr>
              <w:jc w:val="center"/>
              <w:rPr>
                <w:strike/>
                <w:sz w:val="20"/>
                <w:szCs w:val="20"/>
              </w:rPr>
            </w:pPr>
            <w:r w:rsidRPr="004A3006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2911" w:type="dxa"/>
            <w:vMerge/>
            <w:shd w:val="clear" w:color="auto" w:fill="auto"/>
          </w:tcPr>
          <w:p w:rsidR="00D34D08" w:rsidRPr="004A3006" w:rsidRDefault="00D34D08" w:rsidP="008F297E">
            <w:pPr>
              <w:jc w:val="center"/>
            </w:pPr>
          </w:p>
        </w:tc>
        <w:tc>
          <w:tcPr>
            <w:tcW w:w="3575" w:type="dxa"/>
            <w:gridSpan w:val="4"/>
            <w:vMerge/>
            <w:shd w:val="clear" w:color="auto" w:fill="auto"/>
          </w:tcPr>
          <w:p w:rsidR="00D34D08" w:rsidRPr="004A3006" w:rsidRDefault="00D34D08" w:rsidP="008F297E">
            <w:pPr>
              <w:jc w:val="center"/>
            </w:pPr>
          </w:p>
        </w:tc>
      </w:tr>
      <w:tr w:rsidR="004A3006" w:rsidRPr="004A3006" w:rsidTr="008A0BE5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34D08" w:rsidRPr="004A3006" w:rsidRDefault="00D34D08" w:rsidP="008F297E">
            <w:pPr>
              <w:jc w:val="center"/>
            </w:pPr>
            <w:r w:rsidRPr="004A3006">
              <w:t>L)Monto total estimado</w:t>
            </w:r>
          </w:p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lastRenderedPageBreak/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34D08" w:rsidRPr="004A3006" w:rsidRDefault="00D34D08" w:rsidP="008F297E">
            <w:pPr>
              <w:jc w:val="center"/>
            </w:pPr>
            <w:r w:rsidRPr="004A3006">
              <w:lastRenderedPageBreak/>
              <w:t xml:space="preserve">M)Categoría para </w:t>
            </w:r>
            <w:r w:rsidRPr="004A3006">
              <w:lastRenderedPageBreak/>
              <w:t>Presupuesto</w:t>
            </w:r>
          </w:p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lastRenderedPageBreak/>
              <w:t>(a) Gasto corriente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575" w:type="dxa"/>
            <w:gridSpan w:val="4"/>
            <w:shd w:val="clear" w:color="auto" w:fill="D9D9D9" w:themeFill="background1" w:themeFillShade="D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 xml:space="preserve">(c) Fondos del Gobierno  </w:t>
            </w:r>
          </w:p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>Federal o Estatal</w:t>
            </w:r>
          </w:p>
        </w:tc>
      </w:tr>
      <w:tr w:rsidR="004A3006" w:rsidRPr="004A3006" w:rsidTr="008A0BE5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D34D08" w:rsidRPr="004A3006" w:rsidRDefault="00D34D08" w:rsidP="008F297E">
            <w:pPr>
              <w:jc w:val="center"/>
            </w:pPr>
          </w:p>
        </w:tc>
        <w:tc>
          <w:tcPr>
            <w:tcW w:w="1610" w:type="dxa"/>
            <w:gridSpan w:val="3"/>
            <w:shd w:val="clear" w:color="auto" w:fill="auto"/>
          </w:tcPr>
          <w:p w:rsidR="00D34D08" w:rsidRPr="004A3006" w:rsidRDefault="00D34D08" w:rsidP="008F297E">
            <w:pPr>
              <w:jc w:val="center"/>
            </w:pPr>
            <w:r w:rsidRPr="004A3006">
              <w:rPr>
                <w:sz w:val="20"/>
                <w:szCs w:val="20"/>
              </w:rPr>
              <w:t>Aportación  Municipal</w:t>
            </w:r>
          </w:p>
        </w:tc>
        <w:tc>
          <w:tcPr>
            <w:tcW w:w="1965" w:type="dxa"/>
            <w:shd w:val="clear" w:color="auto" w:fill="auto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  <w:r w:rsidRPr="004A3006">
              <w:rPr>
                <w:sz w:val="20"/>
                <w:szCs w:val="20"/>
              </w:rPr>
              <w:t xml:space="preserve">Participación </w:t>
            </w:r>
          </w:p>
          <w:p w:rsidR="00D34D08" w:rsidRPr="004A3006" w:rsidRDefault="00D34D08" w:rsidP="008F297E">
            <w:pPr>
              <w:jc w:val="center"/>
            </w:pPr>
            <w:r w:rsidRPr="004A3006">
              <w:rPr>
                <w:sz w:val="20"/>
                <w:szCs w:val="20"/>
              </w:rPr>
              <w:t>Federal /Estatal</w:t>
            </w:r>
          </w:p>
        </w:tc>
      </w:tr>
      <w:tr w:rsidR="004A3006" w:rsidRPr="004A3006" w:rsidTr="008A0BE5">
        <w:tc>
          <w:tcPr>
            <w:tcW w:w="2970" w:type="dxa"/>
            <w:gridSpan w:val="3"/>
            <w:shd w:val="clear" w:color="auto" w:fill="FFFFFF" w:themeFill="background1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D34D08" w:rsidRPr="004A3006" w:rsidRDefault="00D34D08" w:rsidP="008F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FABF8F" w:themeFill="accent6" w:themeFillTint="99"/>
          </w:tcPr>
          <w:p w:rsidR="00D34D08" w:rsidRPr="004A3006" w:rsidRDefault="0050337E" w:rsidP="008F297E">
            <w:pPr>
              <w:jc w:val="center"/>
            </w:pPr>
            <w:r w:rsidRPr="004A3006">
              <w:t>X</w:t>
            </w:r>
          </w:p>
        </w:tc>
        <w:tc>
          <w:tcPr>
            <w:tcW w:w="1610" w:type="dxa"/>
            <w:gridSpan w:val="3"/>
            <w:shd w:val="clear" w:color="auto" w:fill="FABF8F" w:themeFill="accent6" w:themeFillTint="99"/>
          </w:tcPr>
          <w:p w:rsidR="00D34D08" w:rsidRPr="004A3006" w:rsidRDefault="00D34D08" w:rsidP="008F297E">
            <w:pPr>
              <w:jc w:val="center"/>
            </w:pPr>
          </w:p>
        </w:tc>
        <w:tc>
          <w:tcPr>
            <w:tcW w:w="1965" w:type="dxa"/>
            <w:shd w:val="clear" w:color="auto" w:fill="FABF8F" w:themeFill="accent6" w:themeFillTint="99"/>
          </w:tcPr>
          <w:p w:rsidR="00D34D08" w:rsidRPr="004A3006" w:rsidRDefault="00D34D08" w:rsidP="008F297E">
            <w:pPr>
              <w:jc w:val="center"/>
            </w:pPr>
          </w:p>
        </w:tc>
      </w:tr>
    </w:tbl>
    <w:p w:rsidR="00F36B75" w:rsidRPr="004A3006" w:rsidRDefault="00F36B75" w:rsidP="00F36B75"/>
    <w:p w:rsidR="00F36B75" w:rsidRPr="004A3006" w:rsidRDefault="00F36B75" w:rsidP="00F36B75"/>
    <w:p w:rsidR="00F36B75" w:rsidRPr="004A3006" w:rsidRDefault="00F36B75" w:rsidP="00F36B75">
      <w:pPr>
        <w:rPr>
          <w:b/>
          <w:sz w:val="40"/>
        </w:rPr>
      </w:pPr>
      <w:r w:rsidRPr="004A3006">
        <w:rPr>
          <w:b/>
          <w:sz w:val="40"/>
        </w:rPr>
        <w:t>ANEXO 2: OPERACIÓN DE LA PROPUESTA</w:t>
      </w:r>
      <w:r w:rsidR="00DC19E3" w:rsidRPr="004A3006">
        <w:rPr>
          <w:b/>
          <w:sz w:val="40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49"/>
        <w:gridCol w:w="1226"/>
        <w:gridCol w:w="1577"/>
        <w:gridCol w:w="1970"/>
        <w:gridCol w:w="1182"/>
        <w:gridCol w:w="1187"/>
        <w:gridCol w:w="1393"/>
        <w:gridCol w:w="1336"/>
      </w:tblGrid>
      <w:tr w:rsidR="004A3006" w:rsidRPr="004A3006" w:rsidTr="00F938CF">
        <w:trPr>
          <w:trHeight w:val="547"/>
        </w:trPr>
        <w:tc>
          <w:tcPr>
            <w:tcW w:w="1267" w:type="pct"/>
            <w:shd w:val="clear" w:color="auto" w:fill="D9D9D9" w:themeFill="background1" w:themeFillShade="D9"/>
          </w:tcPr>
          <w:p w:rsidR="00F36B75" w:rsidRPr="004A3006" w:rsidRDefault="00F36B75" w:rsidP="008F297E">
            <w:r w:rsidRPr="004A3006">
              <w:t xml:space="preserve">Principal producto esperado (base para el establecimiento de metas) </w:t>
            </w:r>
          </w:p>
        </w:tc>
        <w:tc>
          <w:tcPr>
            <w:tcW w:w="3733" w:type="pct"/>
            <w:gridSpan w:val="7"/>
            <w:shd w:val="clear" w:color="auto" w:fill="auto"/>
          </w:tcPr>
          <w:p w:rsidR="00F36B75" w:rsidRPr="004A3006" w:rsidRDefault="00E5525C" w:rsidP="00E5525C">
            <w:pPr>
              <w:jc w:val="both"/>
            </w:pPr>
            <w:r w:rsidRPr="004A3006">
              <w:t>Entrega de recursos económicos b</w:t>
            </w:r>
            <w:r w:rsidR="00F36B75" w:rsidRPr="004A3006">
              <w:t>imestralmente a 1</w:t>
            </w:r>
            <w:r w:rsidRPr="004A3006">
              <w:t>,</w:t>
            </w:r>
            <w:r w:rsidR="00F36B75" w:rsidRPr="004A3006">
              <w:t>200 personas de entre los 60 y los 64 años de edad, pertenecientes al municipio de San Pedro Tlaquepaque y que no cuenten con una pensión alimentaria.</w:t>
            </w:r>
          </w:p>
        </w:tc>
      </w:tr>
      <w:tr w:rsidR="004A3006" w:rsidRPr="004A3006" w:rsidTr="00F938CF">
        <w:trPr>
          <w:trHeight w:val="547"/>
        </w:trPr>
        <w:tc>
          <w:tcPr>
            <w:tcW w:w="1267" w:type="pct"/>
            <w:shd w:val="clear" w:color="auto" w:fill="D9D9D9" w:themeFill="background1" w:themeFillShade="D9"/>
          </w:tcPr>
          <w:p w:rsidR="00F36B75" w:rsidRPr="004A3006" w:rsidRDefault="00F36B75" w:rsidP="008F297E">
            <w:r w:rsidRPr="004A3006">
              <w:t>Actividades a realizar para la obtención del producto esperado</w:t>
            </w:r>
          </w:p>
        </w:tc>
        <w:tc>
          <w:tcPr>
            <w:tcW w:w="3733" w:type="pct"/>
            <w:gridSpan w:val="7"/>
            <w:shd w:val="clear" w:color="auto" w:fill="auto"/>
          </w:tcPr>
          <w:p w:rsidR="00F36B75" w:rsidRPr="004A3006" w:rsidRDefault="00EE5448" w:rsidP="00EE5448">
            <w:pPr>
              <w:jc w:val="both"/>
            </w:pPr>
            <w:r w:rsidRPr="004A3006">
              <w:rPr>
                <w:rFonts w:cstheme="minorHAnsi"/>
              </w:rPr>
              <w:t xml:space="preserve">Elaboración, aprobación y autorización del Proyecto Ejecutivo. </w:t>
            </w:r>
            <w:r w:rsidR="00F36B75" w:rsidRPr="004A3006">
              <w:t>Elaboración de reglas de operación</w:t>
            </w:r>
            <w:r w:rsidR="00E5525C" w:rsidRPr="004A3006">
              <w:t xml:space="preserve">. </w:t>
            </w:r>
            <w:r w:rsidR="00F36B75" w:rsidRPr="004A3006">
              <w:t>Calendarización oportuna de cada actividad</w:t>
            </w:r>
            <w:r w:rsidR="00E5525C" w:rsidRPr="004A3006">
              <w:t xml:space="preserve">. </w:t>
            </w:r>
            <w:r w:rsidR="00F36B75" w:rsidRPr="004A3006">
              <w:t>Difusión de la convocatoria por medio del portal electrónico del gobierno de Tlaquepaque, así como mediante las agencias municipales.</w:t>
            </w:r>
            <w:r w:rsidR="00E5525C" w:rsidRPr="004A3006">
              <w:t xml:space="preserve"> </w:t>
            </w:r>
            <w:r w:rsidR="00F36B75" w:rsidRPr="004A3006">
              <w:t>Inscripción oportuna de las personas solicitantes.</w:t>
            </w:r>
            <w:r w:rsidR="00E5525C" w:rsidRPr="004A3006">
              <w:t xml:space="preserve"> </w:t>
            </w:r>
            <w:r w:rsidR="00F36B75" w:rsidRPr="004A3006">
              <w:t>Padrón de beneficiarios con entrega de recursos correspondientes.</w:t>
            </w:r>
            <w:r w:rsidRPr="004A3006">
              <w:t xml:space="preserve"> </w:t>
            </w:r>
            <w:r w:rsidRPr="004A3006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4A3006" w:rsidRPr="004A3006" w:rsidTr="00F938CF">
        <w:trPr>
          <w:trHeight w:val="547"/>
        </w:trPr>
        <w:tc>
          <w:tcPr>
            <w:tcW w:w="1267" w:type="pct"/>
            <w:shd w:val="clear" w:color="auto" w:fill="D9D9D9" w:themeFill="background1" w:themeFillShade="D9"/>
          </w:tcPr>
          <w:p w:rsidR="00F36B75" w:rsidRPr="004A3006" w:rsidRDefault="00F36B75" w:rsidP="008F297E">
            <w:r w:rsidRPr="004A3006">
              <w:t xml:space="preserve">Objetivos del programa estratégico </w:t>
            </w:r>
          </w:p>
        </w:tc>
        <w:tc>
          <w:tcPr>
            <w:tcW w:w="3733" w:type="pct"/>
            <w:gridSpan w:val="7"/>
            <w:shd w:val="clear" w:color="auto" w:fill="FABF8F" w:themeFill="accent6" w:themeFillTint="99"/>
          </w:tcPr>
          <w:p w:rsidR="00F36B75" w:rsidRPr="004A3006" w:rsidRDefault="00F36B75" w:rsidP="008F297E"/>
        </w:tc>
      </w:tr>
      <w:tr w:rsidR="004A3006" w:rsidRPr="004A3006" w:rsidTr="00F938CF">
        <w:trPr>
          <w:trHeight w:val="547"/>
        </w:trPr>
        <w:tc>
          <w:tcPr>
            <w:tcW w:w="1267" w:type="pct"/>
            <w:shd w:val="clear" w:color="auto" w:fill="D9D9D9" w:themeFill="background1" w:themeFillShade="D9"/>
          </w:tcPr>
          <w:p w:rsidR="00F36B75" w:rsidRPr="004A3006" w:rsidRDefault="00F36B75" w:rsidP="008F297E">
            <w:r w:rsidRPr="004A3006">
              <w:t xml:space="preserve">Indicador del programa estratégico al que contribuye  </w:t>
            </w:r>
          </w:p>
        </w:tc>
        <w:tc>
          <w:tcPr>
            <w:tcW w:w="3733" w:type="pct"/>
            <w:gridSpan w:val="7"/>
            <w:shd w:val="clear" w:color="auto" w:fill="FABF8F" w:themeFill="accent6" w:themeFillTint="99"/>
          </w:tcPr>
          <w:p w:rsidR="00F36B75" w:rsidRPr="004A3006" w:rsidRDefault="00F36B75" w:rsidP="008F297E"/>
        </w:tc>
      </w:tr>
      <w:tr w:rsidR="004A3006" w:rsidRPr="004A3006" w:rsidTr="00F938CF">
        <w:tc>
          <w:tcPr>
            <w:tcW w:w="1267" w:type="pct"/>
            <w:vMerge w:val="restart"/>
            <w:shd w:val="clear" w:color="auto" w:fill="D9D9D9" w:themeFill="background1" w:themeFillShade="D9"/>
          </w:tcPr>
          <w:p w:rsidR="00F36B75" w:rsidRPr="004A3006" w:rsidRDefault="00F36B75" w:rsidP="008F297E">
            <w:r w:rsidRPr="004A3006">
              <w:t xml:space="preserve">Beneficios </w:t>
            </w:r>
          </w:p>
        </w:tc>
        <w:tc>
          <w:tcPr>
            <w:tcW w:w="1060" w:type="pct"/>
            <w:gridSpan w:val="2"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  <w:r w:rsidRPr="004A3006">
              <w:t>Corto Plazo</w:t>
            </w:r>
          </w:p>
        </w:tc>
        <w:tc>
          <w:tcPr>
            <w:tcW w:w="1192" w:type="pct"/>
            <w:gridSpan w:val="2"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  <w:r w:rsidRPr="004A3006">
              <w:t>Mediano Plazo</w:t>
            </w:r>
          </w:p>
        </w:tc>
        <w:tc>
          <w:tcPr>
            <w:tcW w:w="1481" w:type="pct"/>
            <w:gridSpan w:val="3"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  <w:r w:rsidRPr="004A3006">
              <w:t>Largo Plazo</w:t>
            </w:r>
          </w:p>
        </w:tc>
      </w:tr>
      <w:tr w:rsidR="004A3006" w:rsidRPr="004A3006" w:rsidTr="00F938CF">
        <w:tc>
          <w:tcPr>
            <w:tcW w:w="1267" w:type="pct"/>
            <w:vMerge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</w:p>
        </w:tc>
        <w:tc>
          <w:tcPr>
            <w:tcW w:w="1060" w:type="pct"/>
            <w:gridSpan w:val="2"/>
            <w:shd w:val="clear" w:color="auto" w:fill="auto"/>
          </w:tcPr>
          <w:p w:rsidR="00F36B75" w:rsidRPr="004A3006" w:rsidRDefault="009F71F6" w:rsidP="008F297E">
            <w:pPr>
              <w:jc w:val="center"/>
            </w:pPr>
            <w:r w:rsidRPr="004A3006">
              <w:t>X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36B75" w:rsidRPr="004A3006" w:rsidRDefault="00F36B75" w:rsidP="008F297E">
            <w:pPr>
              <w:jc w:val="center"/>
            </w:pPr>
          </w:p>
        </w:tc>
        <w:tc>
          <w:tcPr>
            <w:tcW w:w="1481" w:type="pct"/>
            <w:gridSpan w:val="3"/>
            <w:shd w:val="clear" w:color="auto" w:fill="auto"/>
          </w:tcPr>
          <w:p w:rsidR="00F36B75" w:rsidRPr="004A3006" w:rsidRDefault="00F36B75" w:rsidP="008F297E">
            <w:pPr>
              <w:jc w:val="center"/>
            </w:pPr>
          </w:p>
        </w:tc>
      </w:tr>
      <w:tr w:rsidR="004A3006" w:rsidRPr="004A3006" w:rsidTr="00F938CF">
        <w:trPr>
          <w:trHeight w:val="579"/>
        </w:trPr>
        <w:tc>
          <w:tcPr>
            <w:tcW w:w="1267" w:type="pct"/>
            <w:vMerge w:val="restart"/>
            <w:shd w:val="clear" w:color="auto" w:fill="D9D9D9" w:themeFill="background1" w:themeFillShade="D9"/>
          </w:tcPr>
          <w:p w:rsidR="00F36B75" w:rsidRPr="004A3006" w:rsidRDefault="00F36B75" w:rsidP="008F297E">
            <w:r w:rsidRPr="004A3006">
              <w:t xml:space="preserve">Nombre del Indicador </w:t>
            </w:r>
          </w:p>
        </w:tc>
        <w:tc>
          <w:tcPr>
            <w:tcW w:w="464" w:type="pct"/>
            <w:shd w:val="clear" w:color="auto" w:fill="A6A6A6" w:themeFill="background1" w:themeFillShade="A6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 xml:space="preserve">Dimensión a medir </w:t>
            </w:r>
          </w:p>
        </w:tc>
        <w:tc>
          <w:tcPr>
            <w:tcW w:w="596" w:type="pct"/>
            <w:vMerge w:val="restart"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  <w:r w:rsidRPr="004A3006">
              <w:t xml:space="preserve">Definición del indicador </w:t>
            </w:r>
          </w:p>
        </w:tc>
        <w:tc>
          <w:tcPr>
            <w:tcW w:w="745" w:type="pct"/>
            <w:vMerge w:val="restart"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  <w:r w:rsidRPr="004A3006">
              <w:t>Método del calculo</w:t>
            </w:r>
          </w:p>
        </w:tc>
        <w:tc>
          <w:tcPr>
            <w:tcW w:w="447" w:type="pct"/>
            <w:vMerge w:val="restart"/>
            <w:shd w:val="clear" w:color="auto" w:fill="A6A6A6" w:themeFill="background1" w:themeFillShade="A6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Unidad de medida</w:t>
            </w:r>
          </w:p>
        </w:tc>
        <w:tc>
          <w:tcPr>
            <w:tcW w:w="449" w:type="pct"/>
            <w:vMerge w:val="restart"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  <w:r w:rsidRPr="004A3006">
              <w:t xml:space="preserve">Frecuencia de medida 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  <w:r w:rsidRPr="004A3006">
              <w:t>Línea base</w:t>
            </w:r>
          </w:p>
        </w:tc>
        <w:tc>
          <w:tcPr>
            <w:tcW w:w="505" w:type="pct"/>
            <w:vMerge w:val="restart"/>
            <w:shd w:val="clear" w:color="auto" w:fill="A6A6A6" w:themeFill="background1" w:themeFillShade="A6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Meta programada</w:t>
            </w:r>
          </w:p>
        </w:tc>
      </w:tr>
      <w:tr w:rsidR="004A3006" w:rsidRPr="004A3006" w:rsidTr="00F938CF">
        <w:trPr>
          <w:trHeight w:val="405"/>
        </w:trPr>
        <w:tc>
          <w:tcPr>
            <w:tcW w:w="1267" w:type="pct"/>
            <w:vMerge/>
            <w:shd w:val="clear" w:color="auto" w:fill="D9D9D9" w:themeFill="background1" w:themeFillShade="D9"/>
          </w:tcPr>
          <w:p w:rsidR="00F36B75" w:rsidRPr="004A3006" w:rsidRDefault="00F36B75" w:rsidP="008F297E"/>
        </w:tc>
        <w:tc>
          <w:tcPr>
            <w:tcW w:w="464" w:type="pct"/>
            <w:shd w:val="clear" w:color="auto" w:fill="A6A6A6" w:themeFill="background1" w:themeFillShade="A6"/>
          </w:tcPr>
          <w:p w:rsidR="00F36B75" w:rsidRPr="004A3006" w:rsidRDefault="00F36B75" w:rsidP="00DC19E3">
            <w:pPr>
              <w:pStyle w:val="Prrafodelista"/>
              <w:numPr>
                <w:ilvl w:val="0"/>
                <w:numId w:val="3"/>
              </w:numPr>
              <w:ind w:left="211" w:hanging="178"/>
              <w:rPr>
                <w:b/>
                <w:sz w:val="16"/>
                <w:szCs w:val="16"/>
              </w:rPr>
            </w:pPr>
            <w:r w:rsidRPr="004A3006">
              <w:rPr>
                <w:b/>
                <w:sz w:val="16"/>
                <w:szCs w:val="16"/>
              </w:rPr>
              <w:t>Eficacia</w:t>
            </w:r>
          </w:p>
          <w:p w:rsidR="00F36B75" w:rsidRPr="004A3006" w:rsidRDefault="00F36B75" w:rsidP="00DC19E3">
            <w:pPr>
              <w:pStyle w:val="Prrafodelista"/>
              <w:numPr>
                <w:ilvl w:val="0"/>
                <w:numId w:val="3"/>
              </w:numPr>
              <w:ind w:left="211" w:hanging="178"/>
              <w:rPr>
                <w:b/>
                <w:sz w:val="16"/>
                <w:szCs w:val="16"/>
              </w:rPr>
            </w:pPr>
            <w:r w:rsidRPr="004A3006">
              <w:rPr>
                <w:b/>
                <w:sz w:val="16"/>
                <w:szCs w:val="16"/>
              </w:rPr>
              <w:t>Eficiencia</w:t>
            </w:r>
          </w:p>
          <w:p w:rsidR="00F36B75" w:rsidRPr="004A3006" w:rsidRDefault="00F36B75" w:rsidP="00DC19E3">
            <w:pPr>
              <w:pStyle w:val="Prrafodelista"/>
              <w:numPr>
                <w:ilvl w:val="0"/>
                <w:numId w:val="3"/>
              </w:numPr>
              <w:ind w:left="211" w:hanging="178"/>
              <w:rPr>
                <w:b/>
                <w:sz w:val="16"/>
                <w:szCs w:val="16"/>
              </w:rPr>
            </w:pPr>
            <w:r w:rsidRPr="004A3006">
              <w:rPr>
                <w:b/>
                <w:sz w:val="16"/>
                <w:szCs w:val="16"/>
              </w:rPr>
              <w:t xml:space="preserve">Económica </w:t>
            </w:r>
          </w:p>
          <w:p w:rsidR="00F36B75" w:rsidRPr="004A3006" w:rsidRDefault="00F36B75" w:rsidP="00DC19E3">
            <w:pPr>
              <w:pStyle w:val="Prrafodelista"/>
              <w:numPr>
                <w:ilvl w:val="0"/>
                <w:numId w:val="3"/>
              </w:numPr>
              <w:ind w:left="211" w:hanging="178"/>
              <w:rPr>
                <w:b/>
              </w:rPr>
            </w:pPr>
            <w:r w:rsidRPr="004A300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96" w:type="pct"/>
            <w:vMerge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</w:p>
        </w:tc>
        <w:tc>
          <w:tcPr>
            <w:tcW w:w="745" w:type="pct"/>
            <w:vMerge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</w:p>
        </w:tc>
        <w:tc>
          <w:tcPr>
            <w:tcW w:w="447" w:type="pct"/>
            <w:vMerge/>
            <w:shd w:val="clear" w:color="auto" w:fill="A6A6A6" w:themeFill="background1" w:themeFillShade="A6"/>
          </w:tcPr>
          <w:p w:rsidR="00F36B75" w:rsidRPr="004A3006" w:rsidRDefault="00F36B75" w:rsidP="008F297E">
            <w:pPr>
              <w:jc w:val="center"/>
            </w:pPr>
          </w:p>
        </w:tc>
        <w:tc>
          <w:tcPr>
            <w:tcW w:w="449" w:type="pct"/>
            <w:vMerge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F36B75" w:rsidRPr="004A3006" w:rsidRDefault="00F36B75" w:rsidP="008F297E">
            <w:pPr>
              <w:jc w:val="center"/>
            </w:pPr>
          </w:p>
        </w:tc>
        <w:tc>
          <w:tcPr>
            <w:tcW w:w="505" w:type="pct"/>
            <w:vMerge/>
            <w:shd w:val="clear" w:color="auto" w:fill="A6A6A6" w:themeFill="background1" w:themeFillShade="A6"/>
          </w:tcPr>
          <w:p w:rsidR="00F36B75" w:rsidRPr="004A3006" w:rsidRDefault="00F36B75" w:rsidP="008F297E">
            <w:pPr>
              <w:jc w:val="center"/>
            </w:pPr>
          </w:p>
        </w:tc>
      </w:tr>
      <w:tr w:rsidR="004A3006" w:rsidRPr="004A3006" w:rsidTr="00F938CF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D2" w:rsidRPr="004A3006" w:rsidRDefault="00800C77" w:rsidP="008F78E1">
            <w:pPr>
              <w:jc w:val="center"/>
              <w:rPr>
                <w:rFonts w:ascii="Calibri" w:eastAsia="Times New Roman" w:hAnsi="Calibri" w:cs="Calibri"/>
              </w:rPr>
            </w:pPr>
            <w:r w:rsidRPr="004A3006">
              <w:rPr>
                <w:rFonts w:ascii="Calibri" w:eastAsia="Times New Roman" w:hAnsi="Calibri" w:cs="Calibri"/>
              </w:rPr>
              <w:t xml:space="preserve">Porcentaje de personas adultas mayores beneficiadas </w:t>
            </w:r>
            <w:r w:rsidR="00F938CF" w:rsidRPr="004A3006">
              <w:rPr>
                <w:rFonts w:ascii="Calibri" w:eastAsia="Times New Roman" w:hAnsi="Calibri" w:cs="Calibri"/>
              </w:rPr>
              <w:t>que mejoran su calidad de vida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D2" w:rsidRPr="004A3006" w:rsidRDefault="00832DD2" w:rsidP="0050337E">
            <w:pPr>
              <w:jc w:val="center"/>
              <w:rPr>
                <w:rFonts w:ascii="Calibri" w:hAnsi="Calibri" w:cs="Calibri"/>
              </w:rPr>
            </w:pPr>
            <w:r w:rsidRPr="004A3006">
              <w:rPr>
                <w:rFonts w:ascii="Calibri" w:hAnsi="Calibri" w:cs="Calibri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D2" w:rsidRPr="004A3006" w:rsidRDefault="00A34174" w:rsidP="00A34174">
            <w:pPr>
              <w:rPr>
                <w:rFonts w:ascii="Calibri" w:hAnsi="Calibri" w:cs="Calibri"/>
                <w:sz w:val="18"/>
                <w:szCs w:val="18"/>
              </w:rPr>
            </w:pPr>
            <w:r w:rsidRPr="004A3006">
              <w:rPr>
                <w:rFonts w:ascii="Calibri" w:hAnsi="Calibri" w:cs="Calibri"/>
                <w:sz w:val="18"/>
                <w:szCs w:val="18"/>
              </w:rPr>
              <w:t xml:space="preserve">Medir la disminución de carencia o pobreza </w:t>
            </w:r>
            <w:r w:rsidR="009F71F6" w:rsidRPr="004A3006">
              <w:rPr>
                <w:rFonts w:ascii="Calibri" w:hAnsi="Calibri" w:cs="Calibri"/>
                <w:sz w:val="18"/>
                <w:szCs w:val="18"/>
              </w:rPr>
              <w:t xml:space="preserve">en el municipio </w:t>
            </w:r>
            <w:r w:rsidRPr="004A3006">
              <w:rPr>
                <w:rFonts w:ascii="Calibri" w:hAnsi="Calibri" w:cs="Calibri"/>
                <w:sz w:val="18"/>
                <w:szCs w:val="18"/>
              </w:rPr>
              <w:t xml:space="preserve"> que aporta este programa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D2" w:rsidRPr="004A3006" w:rsidRDefault="00A34174" w:rsidP="00F938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006">
              <w:rPr>
                <w:rFonts w:ascii="Calibri" w:hAnsi="Calibri" w:cs="Calibri"/>
                <w:sz w:val="18"/>
                <w:szCs w:val="18"/>
              </w:rPr>
              <w:t>Nº de personas</w:t>
            </w:r>
            <w:r w:rsidR="009F71F6" w:rsidRPr="004A3006">
              <w:rPr>
                <w:rFonts w:ascii="Calibri" w:hAnsi="Calibri" w:cs="Calibri"/>
                <w:sz w:val="18"/>
                <w:szCs w:val="18"/>
              </w:rPr>
              <w:t xml:space="preserve"> adultas mayores</w:t>
            </w:r>
            <w:r w:rsidRPr="004A3006">
              <w:rPr>
                <w:rFonts w:ascii="Calibri" w:hAnsi="Calibri" w:cs="Calibri"/>
                <w:sz w:val="18"/>
                <w:szCs w:val="18"/>
              </w:rPr>
              <w:t xml:space="preserve"> beneficiadas</w:t>
            </w:r>
            <w:r w:rsidR="00F938CF" w:rsidRPr="004A3006">
              <w:rPr>
                <w:rFonts w:ascii="Calibri" w:hAnsi="Calibri" w:cs="Calibri"/>
                <w:sz w:val="18"/>
                <w:szCs w:val="18"/>
              </w:rPr>
              <w:t xml:space="preserve"> que mejoran su calidad de vida</w:t>
            </w:r>
            <w:r w:rsidRPr="004A3006">
              <w:rPr>
                <w:rFonts w:ascii="Calibri" w:hAnsi="Calibri" w:cs="Calibri"/>
                <w:sz w:val="18"/>
                <w:szCs w:val="18"/>
              </w:rPr>
              <w:t xml:space="preserve">/total de personas </w:t>
            </w:r>
            <w:r w:rsidR="00F938CF" w:rsidRPr="004A3006">
              <w:rPr>
                <w:rFonts w:ascii="Calibri" w:hAnsi="Calibri" w:cs="Calibri"/>
                <w:sz w:val="18"/>
                <w:szCs w:val="18"/>
              </w:rPr>
              <w:t>inscritas al programa</w:t>
            </w:r>
            <w:r w:rsidRPr="004A3006">
              <w:rPr>
                <w:rFonts w:ascii="Calibri" w:hAnsi="Calibri" w:cs="Calibri"/>
                <w:sz w:val="18"/>
                <w:szCs w:val="18"/>
              </w:rPr>
              <w:t>)*100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D2" w:rsidRPr="004A3006" w:rsidRDefault="00832DD2" w:rsidP="005033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006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D2" w:rsidRPr="004A3006" w:rsidRDefault="00832DD2" w:rsidP="005033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006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D2" w:rsidRPr="004A3006" w:rsidRDefault="009F71F6" w:rsidP="00E610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00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D2" w:rsidRPr="004A3006" w:rsidRDefault="00F938CF" w:rsidP="005033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006">
              <w:rPr>
                <w:rFonts w:ascii="Calibri" w:hAnsi="Calibri" w:cs="Calibri"/>
                <w:sz w:val="18"/>
                <w:szCs w:val="18"/>
              </w:rPr>
              <w:t>1200</w:t>
            </w:r>
            <w:r w:rsidR="00E61036" w:rsidRPr="004A300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A3006" w:rsidRPr="004A3006" w:rsidTr="00F938CF">
        <w:tc>
          <w:tcPr>
            <w:tcW w:w="2328" w:type="pct"/>
            <w:gridSpan w:val="3"/>
            <w:shd w:val="clear" w:color="auto" w:fill="D9D9D9" w:themeFill="background1" w:themeFillShade="D9"/>
          </w:tcPr>
          <w:p w:rsidR="00832DD2" w:rsidRPr="004A3006" w:rsidRDefault="00832DD2" w:rsidP="008F297E">
            <w:r w:rsidRPr="004A3006">
              <w:lastRenderedPageBreak/>
              <w:t>Clave presupuestal determinada para seguimiento del gasto</w:t>
            </w:r>
          </w:p>
        </w:tc>
        <w:tc>
          <w:tcPr>
            <w:tcW w:w="2672" w:type="pct"/>
            <w:gridSpan w:val="5"/>
            <w:shd w:val="clear" w:color="auto" w:fill="FABF8F" w:themeFill="accent6" w:themeFillTint="99"/>
          </w:tcPr>
          <w:p w:rsidR="00832DD2" w:rsidRPr="004A3006" w:rsidRDefault="00832DD2" w:rsidP="008F297E"/>
        </w:tc>
      </w:tr>
    </w:tbl>
    <w:p w:rsidR="00F36B75" w:rsidRPr="004A3006" w:rsidRDefault="00F36B75" w:rsidP="00F36B75"/>
    <w:p w:rsidR="00F36B75" w:rsidRPr="004A3006" w:rsidRDefault="00F36B75" w:rsidP="00F36B75"/>
    <w:p w:rsidR="00F36B75" w:rsidRPr="004A3006" w:rsidRDefault="00F36B75" w:rsidP="00F36B75">
      <w:pPr>
        <w:rPr>
          <w:b/>
          <w:sz w:val="40"/>
        </w:rPr>
      </w:pPr>
      <w:r w:rsidRPr="004A300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5"/>
        <w:gridCol w:w="675"/>
        <w:gridCol w:w="651"/>
        <w:gridCol w:w="693"/>
        <w:gridCol w:w="716"/>
        <w:gridCol w:w="716"/>
        <w:gridCol w:w="716"/>
        <w:gridCol w:w="761"/>
        <w:gridCol w:w="716"/>
        <w:gridCol w:w="729"/>
        <w:gridCol w:w="695"/>
        <w:gridCol w:w="651"/>
        <w:gridCol w:w="656"/>
      </w:tblGrid>
      <w:tr w:rsidR="004A3006" w:rsidRPr="004A3006" w:rsidTr="008F297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Cronograma Anual  de Actividades</w:t>
            </w:r>
          </w:p>
        </w:tc>
      </w:tr>
      <w:tr w:rsidR="004A3006" w:rsidRPr="004A3006" w:rsidTr="00A37F6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F36B75" w:rsidRPr="004A3006" w:rsidRDefault="00F36B75" w:rsidP="008F297E">
            <w:pPr>
              <w:rPr>
                <w:b/>
              </w:rPr>
            </w:pPr>
            <w:r w:rsidRPr="004A300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2019</w:t>
            </w:r>
          </w:p>
        </w:tc>
      </w:tr>
      <w:tr w:rsidR="004A3006" w:rsidRPr="004A3006" w:rsidTr="00CB151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F36B75" w:rsidRPr="004A3006" w:rsidRDefault="00F36B75" w:rsidP="008F297E"/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NOV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DIC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ENE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FEB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MAR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bottom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ABRIL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MAY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JUN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AGO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F36B75" w:rsidRPr="004A3006" w:rsidRDefault="00F36B75" w:rsidP="008F297E">
            <w:pPr>
              <w:jc w:val="center"/>
              <w:rPr>
                <w:b/>
              </w:rPr>
            </w:pPr>
            <w:r w:rsidRPr="004A3006">
              <w:rPr>
                <w:b/>
              </w:rPr>
              <w:t>SEP</w:t>
            </w:r>
          </w:p>
        </w:tc>
      </w:tr>
      <w:tr w:rsidR="004A3006" w:rsidRPr="004A3006" w:rsidTr="00CB1511">
        <w:trPr>
          <w:trHeight w:val="57"/>
        </w:trPr>
        <w:tc>
          <w:tcPr>
            <w:tcW w:w="1808" w:type="pct"/>
            <w:shd w:val="clear" w:color="auto" w:fill="auto"/>
          </w:tcPr>
          <w:p w:rsidR="00A37F6C" w:rsidRPr="004A3006" w:rsidRDefault="00A37F6C" w:rsidP="0050337E">
            <w:pPr>
              <w:spacing w:line="256" w:lineRule="auto"/>
              <w:jc w:val="both"/>
              <w:rPr>
                <w:rFonts w:cstheme="minorHAnsi"/>
              </w:rPr>
            </w:pPr>
            <w:r w:rsidRPr="004A3006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7" w:type="pct"/>
            <w:shd w:val="clear" w:color="auto" w:fill="FFFFFF" w:themeFill="background1"/>
          </w:tcPr>
          <w:p w:rsidR="00A37F6C" w:rsidRPr="004A3006" w:rsidRDefault="00A37F6C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A37F6C" w:rsidRPr="004A3006" w:rsidRDefault="00A37F6C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</w:tr>
      <w:tr w:rsidR="004A3006" w:rsidRPr="004A3006" w:rsidTr="00CB1511">
        <w:trPr>
          <w:trHeight w:val="57"/>
        </w:trPr>
        <w:tc>
          <w:tcPr>
            <w:tcW w:w="1808" w:type="pct"/>
            <w:shd w:val="clear" w:color="auto" w:fill="auto"/>
          </w:tcPr>
          <w:p w:rsidR="00A37F6C" w:rsidRPr="004A3006" w:rsidRDefault="00A37F6C" w:rsidP="008F297E">
            <w:pPr>
              <w:rPr>
                <w:sz w:val="20"/>
              </w:rPr>
            </w:pPr>
            <w:r w:rsidRPr="004A3006">
              <w:rPr>
                <w:sz w:val="20"/>
              </w:rPr>
              <w:t>Aprobación de las reglas de operación.</w:t>
            </w:r>
          </w:p>
        </w:tc>
        <w:tc>
          <w:tcPr>
            <w:tcW w:w="257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</w:tr>
      <w:tr w:rsidR="004A3006" w:rsidRPr="004A3006" w:rsidTr="00CB1511">
        <w:trPr>
          <w:trHeight w:val="57"/>
        </w:trPr>
        <w:tc>
          <w:tcPr>
            <w:tcW w:w="1808" w:type="pct"/>
            <w:shd w:val="clear" w:color="auto" w:fill="auto"/>
          </w:tcPr>
          <w:p w:rsidR="00A37F6C" w:rsidRPr="004A3006" w:rsidRDefault="00A37F6C" w:rsidP="008F297E">
            <w:pPr>
              <w:rPr>
                <w:sz w:val="20"/>
              </w:rPr>
            </w:pPr>
            <w:r w:rsidRPr="004A3006">
              <w:rPr>
                <w:sz w:val="20"/>
              </w:rPr>
              <w:t>Instalación del Comité Técnico.</w:t>
            </w:r>
          </w:p>
        </w:tc>
        <w:tc>
          <w:tcPr>
            <w:tcW w:w="257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</w:tr>
      <w:tr w:rsidR="004A3006" w:rsidRPr="004A3006" w:rsidTr="00CB1511">
        <w:trPr>
          <w:trHeight w:val="57"/>
        </w:trPr>
        <w:tc>
          <w:tcPr>
            <w:tcW w:w="1808" w:type="pct"/>
            <w:shd w:val="clear" w:color="auto" w:fill="auto"/>
          </w:tcPr>
          <w:p w:rsidR="00A37F6C" w:rsidRPr="004A3006" w:rsidRDefault="00A37F6C" w:rsidP="008F297E">
            <w:pPr>
              <w:rPr>
                <w:sz w:val="20"/>
              </w:rPr>
            </w:pPr>
            <w:r w:rsidRPr="004A3006">
              <w:rPr>
                <w:sz w:val="20"/>
              </w:rPr>
              <w:t xml:space="preserve">Convocatoria. </w:t>
            </w:r>
          </w:p>
        </w:tc>
        <w:tc>
          <w:tcPr>
            <w:tcW w:w="257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</w:tr>
      <w:tr w:rsidR="004A3006" w:rsidRPr="004A3006" w:rsidTr="00CB1511">
        <w:trPr>
          <w:trHeight w:val="57"/>
        </w:trPr>
        <w:tc>
          <w:tcPr>
            <w:tcW w:w="1808" w:type="pct"/>
            <w:shd w:val="clear" w:color="auto" w:fill="auto"/>
          </w:tcPr>
          <w:p w:rsidR="00A37F6C" w:rsidRPr="004A3006" w:rsidRDefault="00A37F6C" w:rsidP="008F297E">
            <w:pPr>
              <w:rPr>
                <w:sz w:val="20"/>
              </w:rPr>
            </w:pPr>
            <w:r w:rsidRPr="004A3006">
              <w:rPr>
                <w:sz w:val="20"/>
              </w:rPr>
              <w:t xml:space="preserve">Inscripciones. </w:t>
            </w:r>
          </w:p>
        </w:tc>
        <w:tc>
          <w:tcPr>
            <w:tcW w:w="257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</w:tr>
      <w:tr w:rsidR="004A3006" w:rsidRPr="004A3006" w:rsidTr="00CB1511">
        <w:trPr>
          <w:trHeight w:val="57"/>
        </w:trPr>
        <w:tc>
          <w:tcPr>
            <w:tcW w:w="1808" w:type="pct"/>
            <w:shd w:val="clear" w:color="auto" w:fill="auto"/>
          </w:tcPr>
          <w:p w:rsidR="00A37F6C" w:rsidRPr="004A3006" w:rsidRDefault="00A37F6C" w:rsidP="008F297E">
            <w:pPr>
              <w:rPr>
                <w:sz w:val="20"/>
              </w:rPr>
            </w:pPr>
            <w:r w:rsidRPr="004A3006">
              <w:rPr>
                <w:sz w:val="20"/>
              </w:rPr>
              <w:t>Captura de datos.</w:t>
            </w:r>
          </w:p>
        </w:tc>
        <w:tc>
          <w:tcPr>
            <w:tcW w:w="257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</w:tr>
      <w:tr w:rsidR="004A3006" w:rsidRPr="004A3006" w:rsidTr="00CB1511">
        <w:trPr>
          <w:trHeight w:val="57"/>
        </w:trPr>
        <w:tc>
          <w:tcPr>
            <w:tcW w:w="1808" w:type="pct"/>
            <w:shd w:val="clear" w:color="auto" w:fill="auto"/>
          </w:tcPr>
          <w:p w:rsidR="00A37F6C" w:rsidRPr="004A3006" w:rsidRDefault="00A37F6C" w:rsidP="008F297E">
            <w:pPr>
              <w:rPr>
                <w:sz w:val="20"/>
              </w:rPr>
            </w:pPr>
            <w:r w:rsidRPr="004A3006">
              <w:rPr>
                <w:sz w:val="20"/>
              </w:rPr>
              <w:t>Selección y Aprobación del padrón.</w:t>
            </w:r>
          </w:p>
        </w:tc>
        <w:tc>
          <w:tcPr>
            <w:tcW w:w="257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</w:tr>
      <w:tr w:rsidR="004A3006" w:rsidRPr="004A3006" w:rsidTr="00CB1511">
        <w:trPr>
          <w:trHeight w:val="57"/>
        </w:trPr>
        <w:tc>
          <w:tcPr>
            <w:tcW w:w="1808" w:type="pct"/>
            <w:shd w:val="clear" w:color="auto" w:fill="auto"/>
          </w:tcPr>
          <w:p w:rsidR="00A37F6C" w:rsidRPr="004A3006" w:rsidRDefault="00A37F6C" w:rsidP="008F297E">
            <w:pPr>
              <w:rPr>
                <w:sz w:val="20"/>
              </w:rPr>
            </w:pPr>
            <w:r w:rsidRPr="004A3006">
              <w:rPr>
                <w:sz w:val="20"/>
              </w:rPr>
              <w:t xml:space="preserve">Conformación de la Contraloría Social. </w:t>
            </w:r>
          </w:p>
        </w:tc>
        <w:tc>
          <w:tcPr>
            <w:tcW w:w="257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</w:tr>
      <w:tr w:rsidR="004A3006" w:rsidRPr="004A3006" w:rsidTr="00CB1511">
        <w:trPr>
          <w:trHeight w:val="57"/>
        </w:trPr>
        <w:tc>
          <w:tcPr>
            <w:tcW w:w="1808" w:type="pct"/>
            <w:shd w:val="clear" w:color="auto" w:fill="auto"/>
          </w:tcPr>
          <w:p w:rsidR="00A37F6C" w:rsidRPr="004A3006" w:rsidRDefault="00A37F6C" w:rsidP="008F297E">
            <w:pPr>
              <w:rPr>
                <w:sz w:val="20"/>
              </w:rPr>
            </w:pPr>
            <w:r w:rsidRPr="004A3006">
              <w:rPr>
                <w:sz w:val="20"/>
              </w:rPr>
              <w:t>Entrega de pago.</w:t>
            </w:r>
          </w:p>
        </w:tc>
        <w:tc>
          <w:tcPr>
            <w:tcW w:w="257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</w:tr>
      <w:tr w:rsidR="004A3006" w:rsidRPr="004A3006" w:rsidTr="00CB1511">
        <w:trPr>
          <w:trHeight w:val="57"/>
        </w:trPr>
        <w:tc>
          <w:tcPr>
            <w:tcW w:w="1808" w:type="pct"/>
            <w:shd w:val="clear" w:color="auto" w:fill="auto"/>
          </w:tcPr>
          <w:p w:rsidR="00A37F6C" w:rsidRPr="004A3006" w:rsidRDefault="00A37F6C" w:rsidP="008F297E">
            <w:pPr>
              <w:rPr>
                <w:sz w:val="20"/>
              </w:rPr>
            </w:pPr>
            <w:r w:rsidRPr="004A3006">
              <w:rPr>
                <w:sz w:val="20"/>
              </w:rPr>
              <w:t xml:space="preserve">Elaboración de indicadores. </w:t>
            </w:r>
          </w:p>
        </w:tc>
        <w:tc>
          <w:tcPr>
            <w:tcW w:w="257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</w:tcPr>
          <w:p w:rsidR="00A37F6C" w:rsidRPr="004A3006" w:rsidRDefault="00A37F6C" w:rsidP="008F297E">
            <w:pPr>
              <w:jc w:val="center"/>
              <w:rPr>
                <w:sz w:val="20"/>
              </w:rPr>
            </w:pPr>
          </w:p>
        </w:tc>
      </w:tr>
      <w:tr w:rsidR="004A3006" w:rsidRPr="004A3006" w:rsidTr="00CB1511">
        <w:trPr>
          <w:trHeight w:val="57"/>
        </w:trPr>
        <w:tc>
          <w:tcPr>
            <w:tcW w:w="1808" w:type="pct"/>
            <w:shd w:val="clear" w:color="auto" w:fill="auto"/>
          </w:tcPr>
          <w:p w:rsidR="00CB1511" w:rsidRPr="004A3006" w:rsidRDefault="00CB1511" w:rsidP="0050337E">
            <w:pPr>
              <w:jc w:val="both"/>
              <w:rPr>
                <w:rFonts w:cstheme="minorHAnsi"/>
                <w:shd w:val="clear" w:color="auto" w:fill="FFFFFF"/>
              </w:rPr>
            </w:pPr>
            <w:r w:rsidRPr="004A3006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7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CB1511" w:rsidRPr="004A3006" w:rsidRDefault="00CB1511" w:rsidP="0050337E">
            <w:pPr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</w:tr>
      <w:tr w:rsidR="004A3006" w:rsidRPr="004A3006" w:rsidTr="00CB1511">
        <w:trPr>
          <w:trHeight w:val="57"/>
        </w:trPr>
        <w:tc>
          <w:tcPr>
            <w:tcW w:w="1808" w:type="pct"/>
            <w:shd w:val="clear" w:color="auto" w:fill="auto"/>
          </w:tcPr>
          <w:p w:rsidR="00CB1511" w:rsidRPr="004A3006" w:rsidRDefault="00CB1511" w:rsidP="0050337E">
            <w:pPr>
              <w:jc w:val="both"/>
              <w:rPr>
                <w:rFonts w:cstheme="minorHAnsi"/>
                <w:shd w:val="clear" w:color="auto" w:fill="FFFFFF"/>
              </w:rPr>
            </w:pPr>
            <w:r w:rsidRPr="004A3006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7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CB1511" w:rsidRPr="004A3006" w:rsidRDefault="00CB1511" w:rsidP="0050337E">
            <w:pPr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FFFFFF" w:themeFill="background1"/>
          </w:tcPr>
          <w:p w:rsidR="00CB1511" w:rsidRPr="004A3006" w:rsidRDefault="00CB1511" w:rsidP="0050337E">
            <w:pPr>
              <w:jc w:val="center"/>
              <w:rPr>
                <w:sz w:val="20"/>
              </w:rPr>
            </w:pPr>
            <w:r w:rsidRPr="004A3006">
              <w:rPr>
                <w:sz w:val="20"/>
              </w:rPr>
              <w:t>X</w:t>
            </w:r>
          </w:p>
        </w:tc>
      </w:tr>
    </w:tbl>
    <w:p w:rsidR="00F36B75" w:rsidRPr="004A3006" w:rsidRDefault="00F36B75" w:rsidP="00F36B75">
      <w:pPr>
        <w:rPr>
          <w:i/>
          <w:sz w:val="16"/>
        </w:rPr>
      </w:pPr>
    </w:p>
    <w:p w:rsidR="00C613E0" w:rsidRPr="004A3006" w:rsidRDefault="00C613E0" w:rsidP="00F36B75">
      <w:pPr>
        <w:rPr>
          <w:b/>
          <w:sz w:val="10"/>
          <w:szCs w:val="10"/>
        </w:rPr>
      </w:pPr>
      <w:bookmarkStart w:id="0" w:name="_GoBack"/>
      <w:bookmarkEnd w:id="0"/>
    </w:p>
    <w:sectPr w:rsidR="00C613E0" w:rsidRPr="004A3006" w:rsidSect="008F297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37" w:rsidRDefault="00B81437" w:rsidP="00985B24">
      <w:pPr>
        <w:spacing w:after="0" w:line="240" w:lineRule="auto"/>
      </w:pPr>
      <w:r>
        <w:separator/>
      </w:r>
    </w:p>
  </w:endnote>
  <w:endnote w:type="continuationSeparator" w:id="0">
    <w:p w:rsidR="00B81437" w:rsidRDefault="00B8143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37" w:rsidRDefault="00B81437" w:rsidP="00985B24">
      <w:pPr>
        <w:spacing w:after="0" w:line="240" w:lineRule="auto"/>
      </w:pPr>
      <w:r>
        <w:separator/>
      </w:r>
    </w:p>
  </w:footnote>
  <w:footnote w:type="continuationSeparator" w:id="0">
    <w:p w:rsidR="00B81437" w:rsidRDefault="00B8143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37" w:rsidRDefault="00B8143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81437" w:rsidRPr="00A53525" w:rsidTr="008F297E">
      <w:trPr>
        <w:trHeight w:val="841"/>
      </w:trPr>
      <w:tc>
        <w:tcPr>
          <w:tcW w:w="1651" w:type="dxa"/>
        </w:tcPr>
        <w:p w:rsidR="00B81437" w:rsidRPr="00A53525" w:rsidRDefault="00B8143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81437" w:rsidRPr="00A53525" w:rsidRDefault="00B8143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81437" w:rsidRPr="00A53525" w:rsidRDefault="00B8143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81437" w:rsidRPr="005D6B0E" w:rsidRDefault="00B8143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81437" w:rsidRDefault="00B8143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81437" w:rsidRPr="00A53525" w:rsidRDefault="00B8143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81437" w:rsidRDefault="00B81437">
    <w:pPr>
      <w:pStyle w:val="Encabezado"/>
    </w:pPr>
  </w:p>
  <w:p w:rsidR="00B81437" w:rsidRDefault="00B814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2F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DE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21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A33A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381B"/>
    <w:rsid w:val="000101B7"/>
    <w:rsid w:val="000168B7"/>
    <w:rsid w:val="0002197B"/>
    <w:rsid w:val="00031BE1"/>
    <w:rsid w:val="00055E9C"/>
    <w:rsid w:val="00056FD7"/>
    <w:rsid w:val="00061287"/>
    <w:rsid w:val="00071F00"/>
    <w:rsid w:val="00075D67"/>
    <w:rsid w:val="000843BC"/>
    <w:rsid w:val="00095816"/>
    <w:rsid w:val="000D7A4E"/>
    <w:rsid w:val="000E1EA6"/>
    <w:rsid w:val="001018DE"/>
    <w:rsid w:val="00114726"/>
    <w:rsid w:val="001324C2"/>
    <w:rsid w:val="00144C96"/>
    <w:rsid w:val="001473C9"/>
    <w:rsid w:val="00180D5C"/>
    <w:rsid w:val="0018108C"/>
    <w:rsid w:val="00181B14"/>
    <w:rsid w:val="001A341B"/>
    <w:rsid w:val="001A597F"/>
    <w:rsid w:val="001A7014"/>
    <w:rsid w:val="001B6E0D"/>
    <w:rsid w:val="001E4F32"/>
    <w:rsid w:val="00214D7F"/>
    <w:rsid w:val="00220DAE"/>
    <w:rsid w:val="0022496F"/>
    <w:rsid w:val="002306CB"/>
    <w:rsid w:val="00233105"/>
    <w:rsid w:val="0024680E"/>
    <w:rsid w:val="00252B1D"/>
    <w:rsid w:val="0026565A"/>
    <w:rsid w:val="00284683"/>
    <w:rsid w:val="00295219"/>
    <w:rsid w:val="002A4D74"/>
    <w:rsid w:val="002B1725"/>
    <w:rsid w:val="002B39AA"/>
    <w:rsid w:val="002C1EDF"/>
    <w:rsid w:val="002C3B11"/>
    <w:rsid w:val="002C6142"/>
    <w:rsid w:val="002C6412"/>
    <w:rsid w:val="002D1969"/>
    <w:rsid w:val="002D792E"/>
    <w:rsid w:val="002E1B34"/>
    <w:rsid w:val="002E1F86"/>
    <w:rsid w:val="002F08F4"/>
    <w:rsid w:val="00301A99"/>
    <w:rsid w:val="0031736E"/>
    <w:rsid w:val="00322149"/>
    <w:rsid w:val="00324801"/>
    <w:rsid w:val="003277BB"/>
    <w:rsid w:val="003347A3"/>
    <w:rsid w:val="00351B97"/>
    <w:rsid w:val="00356832"/>
    <w:rsid w:val="003663A1"/>
    <w:rsid w:val="00371857"/>
    <w:rsid w:val="0039027E"/>
    <w:rsid w:val="003B7414"/>
    <w:rsid w:val="003C1E90"/>
    <w:rsid w:val="003F5F75"/>
    <w:rsid w:val="00435631"/>
    <w:rsid w:val="004417C8"/>
    <w:rsid w:val="00475F19"/>
    <w:rsid w:val="004A3006"/>
    <w:rsid w:val="004F0A7E"/>
    <w:rsid w:val="004F1ED6"/>
    <w:rsid w:val="005014C2"/>
    <w:rsid w:val="0050337E"/>
    <w:rsid w:val="00511477"/>
    <w:rsid w:val="0052681B"/>
    <w:rsid w:val="00555A67"/>
    <w:rsid w:val="0057477E"/>
    <w:rsid w:val="005840EE"/>
    <w:rsid w:val="005863E4"/>
    <w:rsid w:val="00596455"/>
    <w:rsid w:val="005A557B"/>
    <w:rsid w:val="005B713E"/>
    <w:rsid w:val="005C0381"/>
    <w:rsid w:val="005C13BE"/>
    <w:rsid w:val="005C50F9"/>
    <w:rsid w:val="005D4DEE"/>
    <w:rsid w:val="005F6BB1"/>
    <w:rsid w:val="006047A8"/>
    <w:rsid w:val="00613CE2"/>
    <w:rsid w:val="006308AB"/>
    <w:rsid w:val="006560DD"/>
    <w:rsid w:val="006665C9"/>
    <w:rsid w:val="00686F39"/>
    <w:rsid w:val="006B0B1E"/>
    <w:rsid w:val="006B6D15"/>
    <w:rsid w:val="006F2C69"/>
    <w:rsid w:val="0072057C"/>
    <w:rsid w:val="007206CD"/>
    <w:rsid w:val="007243CD"/>
    <w:rsid w:val="007441AF"/>
    <w:rsid w:val="0076351F"/>
    <w:rsid w:val="0079540C"/>
    <w:rsid w:val="007C0FE9"/>
    <w:rsid w:val="007C1904"/>
    <w:rsid w:val="007C3AA5"/>
    <w:rsid w:val="007C7475"/>
    <w:rsid w:val="007F28AE"/>
    <w:rsid w:val="007F3DCA"/>
    <w:rsid w:val="00800C77"/>
    <w:rsid w:val="00810C01"/>
    <w:rsid w:val="00815ADE"/>
    <w:rsid w:val="0082252B"/>
    <w:rsid w:val="00832DD2"/>
    <w:rsid w:val="00873CD4"/>
    <w:rsid w:val="00876EAE"/>
    <w:rsid w:val="008824CC"/>
    <w:rsid w:val="00892C74"/>
    <w:rsid w:val="008A0BE5"/>
    <w:rsid w:val="008A3650"/>
    <w:rsid w:val="008A698F"/>
    <w:rsid w:val="008F09E3"/>
    <w:rsid w:val="008F297E"/>
    <w:rsid w:val="008F78E1"/>
    <w:rsid w:val="0090724A"/>
    <w:rsid w:val="00912A33"/>
    <w:rsid w:val="00915455"/>
    <w:rsid w:val="00923B80"/>
    <w:rsid w:val="00926B13"/>
    <w:rsid w:val="00936553"/>
    <w:rsid w:val="00946B9B"/>
    <w:rsid w:val="00981E99"/>
    <w:rsid w:val="00985B24"/>
    <w:rsid w:val="009944F4"/>
    <w:rsid w:val="009A3A4C"/>
    <w:rsid w:val="009B23B5"/>
    <w:rsid w:val="009C1644"/>
    <w:rsid w:val="009F71F6"/>
    <w:rsid w:val="00A07EFB"/>
    <w:rsid w:val="00A32D8C"/>
    <w:rsid w:val="00A34174"/>
    <w:rsid w:val="00A37F6C"/>
    <w:rsid w:val="00A57930"/>
    <w:rsid w:val="00A624F2"/>
    <w:rsid w:val="00A65BAF"/>
    <w:rsid w:val="00A67619"/>
    <w:rsid w:val="00A80D75"/>
    <w:rsid w:val="00A90ED0"/>
    <w:rsid w:val="00A932D8"/>
    <w:rsid w:val="00A93C1E"/>
    <w:rsid w:val="00AA13E3"/>
    <w:rsid w:val="00AA22B4"/>
    <w:rsid w:val="00AA5B6B"/>
    <w:rsid w:val="00AC0D81"/>
    <w:rsid w:val="00AD6073"/>
    <w:rsid w:val="00B04E12"/>
    <w:rsid w:val="00B15ABE"/>
    <w:rsid w:val="00B16918"/>
    <w:rsid w:val="00B279CE"/>
    <w:rsid w:val="00B3346E"/>
    <w:rsid w:val="00B4061A"/>
    <w:rsid w:val="00B5792D"/>
    <w:rsid w:val="00B608A9"/>
    <w:rsid w:val="00B64EE1"/>
    <w:rsid w:val="00B66902"/>
    <w:rsid w:val="00B7369D"/>
    <w:rsid w:val="00B81437"/>
    <w:rsid w:val="00B90D5B"/>
    <w:rsid w:val="00B919B4"/>
    <w:rsid w:val="00BA62A0"/>
    <w:rsid w:val="00C23B7D"/>
    <w:rsid w:val="00C24C92"/>
    <w:rsid w:val="00C3660A"/>
    <w:rsid w:val="00C613E0"/>
    <w:rsid w:val="00C81CB7"/>
    <w:rsid w:val="00C85B4D"/>
    <w:rsid w:val="00CA06B5"/>
    <w:rsid w:val="00CA7C2B"/>
    <w:rsid w:val="00CB05E1"/>
    <w:rsid w:val="00CB1511"/>
    <w:rsid w:val="00CE0AC3"/>
    <w:rsid w:val="00CE2F49"/>
    <w:rsid w:val="00CF1205"/>
    <w:rsid w:val="00D2224A"/>
    <w:rsid w:val="00D34D08"/>
    <w:rsid w:val="00D3588A"/>
    <w:rsid w:val="00D42AEF"/>
    <w:rsid w:val="00D56208"/>
    <w:rsid w:val="00D642AA"/>
    <w:rsid w:val="00D70B71"/>
    <w:rsid w:val="00D86FEF"/>
    <w:rsid w:val="00D8768D"/>
    <w:rsid w:val="00D91129"/>
    <w:rsid w:val="00D93712"/>
    <w:rsid w:val="00DA1966"/>
    <w:rsid w:val="00DC19E3"/>
    <w:rsid w:val="00DC4FB7"/>
    <w:rsid w:val="00DD056F"/>
    <w:rsid w:val="00DD1866"/>
    <w:rsid w:val="00DD4726"/>
    <w:rsid w:val="00DE51AF"/>
    <w:rsid w:val="00DF068C"/>
    <w:rsid w:val="00DF607C"/>
    <w:rsid w:val="00E00AC3"/>
    <w:rsid w:val="00E31970"/>
    <w:rsid w:val="00E40804"/>
    <w:rsid w:val="00E5525C"/>
    <w:rsid w:val="00E60387"/>
    <w:rsid w:val="00E61036"/>
    <w:rsid w:val="00E77D85"/>
    <w:rsid w:val="00E867EA"/>
    <w:rsid w:val="00EB48F3"/>
    <w:rsid w:val="00ED4324"/>
    <w:rsid w:val="00ED5849"/>
    <w:rsid w:val="00EE10E8"/>
    <w:rsid w:val="00EE176B"/>
    <w:rsid w:val="00EE5448"/>
    <w:rsid w:val="00EE7B19"/>
    <w:rsid w:val="00EF052D"/>
    <w:rsid w:val="00F179DF"/>
    <w:rsid w:val="00F276C6"/>
    <w:rsid w:val="00F36B75"/>
    <w:rsid w:val="00F406AA"/>
    <w:rsid w:val="00F462AD"/>
    <w:rsid w:val="00F62B11"/>
    <w:rsid w:val="00F82920"/>
    <w:rsid w:val="00F938CF"/>
    <w:rsid w:val="00FB3407"/>
    <w:rsid w:val="00FB5F53"/>
    <w:rsid w:val="00FB74DD"/>
    <w:rsid w:val="00FC096C"/>
    <w:rsid w:val="00FE236F"/>
    <w:rsid w:val="00FF080E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7BA9DCA-3306-4F8F-87CE-F061A15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6B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6B7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F36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DD82-8843-4AD9-921E-6FDE1897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2</cp:revision>
  <dcterms:created xsi:type="dcterms:W3CDTF">2019-01-28T20:36:00Z</dcterms:created>
  <dcterms:modified xsi:type="dcterms:W3CDTF">2019-01-28T20:36:00Z</dcterms:modified>
</cp:coreProperties>
</file>