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15C20" w:rsidRDefault="00985B24" w:rsidP="00985B24">
      <w:pPr>
        <w:rPr>
          <w:b/>
          <w:sz w:val="40"/>
        </w:rPr>
      </w:pPr>
    </w:p>
    <w:p w:rsidR="006560DD" w:rsidRPr="00815C20" w:rsidRDefault="006560DD" w:rsidP="00985B24">
      <w:r w:rsidRPr="00815C20">
        <w:rPr>
          <w:b/>
          <w:sz w:val="40"/>
        </w:rPr>
        <w:t>ANEXO 1</w:t>
      </w:r>
      <w:r w:rsidR="001D7D48" w:rsidRPr="00815C20">
        <w:rPr>
          <w:b/>
          <w:sz w:val="40"/>
        </w:rPr>
        <w:t>: DATOS</w:t>
      </w:r>
      <w:r w:rsidR="00985B24" w:rsidRPr="00815C20">
        <w:rPr>
          <w:b/>
          <w:sz w:val="40"/>
        </w:rPr>
        <w:t xml:space="preserve"> </w:t>
      </w:r>
      <w:r w:rsidRPr="00815C20">
        <w:rPr>
          <w:b/>
          <w:sz w:val="40"/>
        </w:rPr>
        <w:t>GENERALES</w:t>
      </w:r>
      <w:r w:rsidR="005E0399" w:rsidRPr="00815C20">
        <w:rPr>
          <w:b/>
          <w:sz w:val="40"/>
        </w:rPr>
        <w:t>.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56"/>
        <w:gridCol w:w="995"/>
        <w:gridCol w:w="887"/>
        <w:gridCol w:w="1254"/>
        <w:gridCol w:w="2395"/>
        <w:gridCol w:w="516"/>
        <w:gridCol w:w="768"/>
        <w:gridCol w:w="842"/>
        <w:gridCol w:w="1710"/>
      </w:tblGrid>
      <w:tr w:rsidR="00815C20" w:rsidRPr="00815C20" w:rsidTr="00A7064F">
        <w:tc>
          <w:tcPr>
            <w:tcW w:w="3397" w:type="dxa"/>
            <w:gridSpan w:val="4"/>
            <w:shd w:val="clear" w:color="auto" w:fill="D9D9D9" w:themeFill="background1" w:themeFillShade="D9"/>
          </w:tcPr>
          <w:p w:rsidR="00A7064F" w:rsidRPr="00815C20" w:rsidRDefault="00A7064F" w:rsidP="00A7064F">
            <w:pPr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A7064F" w:rsidRPr="00815C20" w:rsidRDefault="00A7064F" w:rsidP="00A7064F">
            <w:pPr>
              <w:jc w:val="both"/>
            </w:pPr>
            <w:r w:rsidRPr="00815C20">
              <w:t>1_Proyecto accesibilidad universal y alto uno y uno zona centro primer cuadro.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7064F" w:rsidRPr="00815C20" w:rsidRDefault="00A7064F" w:rsidP="00A7064F">
            <w:r w:rsidRPr="00815C20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A7064F" w:rsidRPr="00815C20" w:rsidRDefault="00A7064F" w:rsidP="00A7064F">
            <w:pPr>
              <w:jc w:val="both"/>
            </w:pPr>
          </w:p>
        </w:tc>
      </w:tr>
      <w:tr w:rsidR="00815C20" w:rsidRPr="00815C20" w:rsidTr="00A7064F">
        <w:tc>
          <w:tcPr>
            <w:tcW w:w="3397" w:type="dxa"/>
            <w:gridSpan w:val="4"/>
            <w:shd w:val="clear" w:color="auto" w:fill="D9D9D9" w:themeFill="background1" w:themeFillShade="D9"/>
          </w:tcPr>
          <w:p w:rsidR="00A7064F" w:rsidRPr="00815C20" w:rsidRDefault="00A7064F" w:rsidP="00A7064F">
            <w:r w:rsidRPr="00815C20">
              <w:t>B)Dirección o área responsable</w:t>
            </w:r>
          </w:p>
        </w:tc>
        <w:tc>
          <w:tcPr>
            <w:tcW w:w="6087" w:type="dxa"/>
            <w:gridSpan w:val="5"/>
          </w:tcPr>
          <w:p w:rsidR="00A7064F" w:rsidRPr="00815C20" w:rsidRDefault="00A7064F" w:rsidP="00545CF6">
            <w:pPr>
              <w:jc w:val="both"/>
            </w:pPr>
            <w:r w:rsidRPr="00815C20">
              <w:t xml:space="preserve">Dirección de </w:t>
            </w:r>
            <w:r w:rsidR="00545CF6" w:rsidRPr="00815C20">
              <w:t>M</w:t>
            </w:r>
            <w:r w:rsidRPr="00815C20">
              <w:t xml:space="preserve">ovilidad y </w:t>
            </w:r>
            <w:r w:rsidR="00545CF6" w:rsidRPr="00815C20">
              <w:t>T</w:t>
            </w:r>
            <w:r w:rsidRPr="00815C20">
              <w:t>rasporte</w:t>
            </w:r>
            <w:r w:rsidR="00545CF6" w:rsidRPr="00815C20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7064F" w:rsidRPr="00815C20" w:rsidRDefault="00A7064F" w:rsidP="00A7064F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A7064F" w:rsidRPr="00815C20" w:rsidRDefault="00A7064F" w:rsidP="00A7064F">
            <w:pPr>
              <w:jc w:val="both"/>
            </w:pPr>
          </w:p>
        </w:tc>
      </w:tr>
      <w:tr w:rsidR="00815C20" w:rsidRPr="00815C20" w:rsidTr="00A7064F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A7064F" w:rsidRPr="00815C20" w:rsidRDefault="00A7064F" w:rsidP="00A7064F">
            <w:r w:rsidRPr="00815C20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A7064F" w:rsidRPr="00815C20" w:rsidRDefault="00024F00" w:rsidP="00024F00">
            <w:pPr>
              <w:jc w:val="both"/>
            </w:pPr>
            <w:r w:rsidRPr="00815C20">
              <w:t>Falta de mecanismos de r</w:t>
            </w:r>
            <w:r w:rsidR="00A7064F" w:rsidRPr="00815C20">
              <w:t>egula</w:t>
            </w:r>
            <w:r w:rsidRPr="00815C20">
              <w:t>ción de</w:t>
            </w:r>
            <w:r w:rsidR="00A7064F" w:rsidRPr="00815C20">
              <w:t xml:space="preserve"> la movilidad en </w:t>
            </w:r>
            <w:r w:rsidRPr="00815C20">
              <w:t xml:space="preserve">la </w:t>
            </w:r>
            <w:r w:rsidR="00545CF6" w:rsidRPr="00815C20">
              <w:t>Zona C</w:t>
            </w:r>
            <w:r w:rsidR="00A7064F" w:rsidRPr="00815C20">
              <w:t>entro</w:t>
            </w:r>
            <w:r w:rsidR="00545CF6" w:rsidRPr="00815C20">
              <w:t xml:space="preserve"> </w:t>
            </w:r>
            <w:r w:rsidRPr="00815C20">
              <w:t xml:space="preserve">Municipal, lo que genera incremento en </w:t>
            </w:r>
            <w:r w:rsidR="00A7064F" w:rsidRPr="00815C20">
              <w:t>el índice de siniestralidad en hechos de tránsito</w:t>
            </w:r>
            <w:r w:rsidRPr="00815C20">
              <w:t xml:space="preserve"> por unidades vehiculares, dificultando además la circulación del ciclista, peatón y de manera específica de personas con discapacidad, Niñas y Niños en carriola y Personas Adultas Mayores en Sillas de Ruedas.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7064F" w:rsidRPr="00815C20" w:rsidRDefault="00A7064F" w:rsidP="00A7064F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A7064F" w:rsidRPr="00815C20" w:rsidRDefault="00A7064F" w:rsidP="00A7064F">
            <w:pPr>
              <w:jc w:val="both"/>
            </w:pPr>
          </w:p>
        </w:tc>
      </w:tr>
      <w:tr w:rsidR="00815C20" w:rsidRPr="00815C20" w:rsidTr="000321D2">
        <w:trPr>
          <w:trHeight w:val="269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A7064F" w:rsidRPr="00815C20" w:rsidRDefault="00A7064F" w:rsidP="00A7064F"/>
        </w:tc>
        <w:tc>
          <w:tcPr>
            <w:tcW w:w="6087" w:type="dxa"/>
            <w:gridSpan w:val="5"/>
            <w:vMerge/>
          </w:tcPr>
          <w:p w:rsidR="00A7064F" w:rsidRPr="00815C20" w:rsidRDefault="00A7064F" w:rsidP="00A7064F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7064F" w:rsidRPr="00815C20" w:rsidRDefault="00A7064F" w:rsidP="00A7064F">
            <w:r w:rsidRPr="00815C20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A7064F" w:rsidRPr="00815C20" w:rsidRDefault="00A7064F" w:rsidP="00A7064F">
            <w:pPr>
              <w:jc w:val="both"/>
            </w:pPr>
          </w:p>
        </w:tc>
      </w:tr>
      <w:tr w:rsidR="00815C20" w:rsidRPr="00815C20" w:rsidTr="00A7064F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545CF6" w:rsidRPr="00815C20" w:rsidRDefault="00545CF6" w:rsidP="00545CF6">
            <w:pPr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545CF6" w:rsidRPr="00815C20" w:rsidRDefault="00545CF6" w:rsidP="00545CF6">
            <w:pPr>
              <w:jc w:val="both"/>
            </w:pPr>
            <w:r w:rsidRPr="00815C20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45CF6" w:rsidRPr="00815C20" w:rsidRDefault="00545CF6" w:rsidP="00545CF6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545CF6" w:rsidRPr="00815C20" w:rsidRDefault="00545CF6" w:rsidP="00545CF6">
            <w:pPr>
              <w:jc w:val="both"/>
            </w:pPr>
          </w:p>
        </w:tc>
      </w:tr>
      <w:tr w:rsidR="00815C20" w:rsidRPr="00815C20" w:rsidTr="00A7064F">
        <w:tc>
          <w:tcPr>
            <w:tcW w:w="3397" w:type="dxa"/>
            <w:gridSpan w:val="4"/>
            <w:shd w:val="clear" w:color="auto" w:fill="D9D9D9" w:themeFill="background1" w:themeFillShade="D9"/>
          </w:tcPr>
          <w:p w:rsidR="00A7064F" w:rsidRPr="00815C20" w:rsidRDefault="00A7064F" w:rsidP="00A7064F">
            <w:r w:rsidRPr="00815C20"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697BC8" w:rsidRPr="00815C20" w:rsidRDefault="00697BC8" w:rsidP="00697BC8">
            <w:pPr>
              <w:jc w:val="both"/>
            </w:pPr>
            <w:r w:rsidRPr="00815C20">
              <w:t>W</w:t>
            </w:r>
            <w:r w:rsidR="00A7064F" w:rsidRPr="00815C20">
              <w:t xml:space="preserve">. </w:t>
            </w:r>
            <w:r w:rsidRPr="00815C20">
              <w:t xml:space="preserve">Taiko Figueroa Larios. </w:t>
            </w:r>
            <w:r w:rsidR="00A7064F" w:rsidRPr="00815C20">
              <w:t>Tel</w:t>
            </w:r>
            <w:r w:rsidRPr="00815C20">
              <w:t>éfono</w:t>
            </w:r>
            <w:r w:rsidR="00A7064F" w:rsidRPr="00815C20">
              <w:t xml:space="preserve"> </w:t>
            </w:r>
            <w:r w:rsidRPr="00815C20">
              <w:t>044</w:t>
            </w:r>
            <w:r w:rsidR="00A7064F" w:rsidRPr="00815C20">
              <w:t>33</w:t>
            </w:r>
            <w:r w:rsidRPr="00815C20">
              <w:t>-</w:t>
            </w:r>
            <w:r w:rsidR="00A7064F" w:rsidRPr="00815C20">
              <w:t>1671</w:t>
            </w:r>
            <w:r w:rsidRPr="00815C20">
              <w:t>-8549</w:t>
            </w:r>
          </w:p>
          <w:p w:rsidR="00A7064F" w:rsidRPr="00815C20" w:rsidRDefault="00A7064F" w:rsidP="00697BC8">
            <w:pPr>
              <w:jc w:val="both"/>
            </w:pPr>
            <w:r w:rsidRPr="00815C20">
              <w:t>correo: taiko_figueroa@hotmail.com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7064F" w:rsidRPr="00815C20" w:rsidRDefault="00A7064F" w:rsidP="00A7064F">
            <w:r w:rsidRPr="00815C20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A7064F" w:rsidRPr="00815C20" w:rsidRDefault="00A7064F" w:rsidP="00A7064F">
            <w:pPr>
              <w:jc w:val="both"/>
            </w:pPr>
          </w:p>
        </w:tc>
      </w:tr>
      <w:tr w:rsidR="00815C20" w:rsidRPr="00815C20" w:rsidTr="00A7064F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A7064F" w:rsidRPr="00815C20" w:rsidRDefault="00A7064F" w:rsidP="00A7064F">
            <w:pPr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024F00" w:rsidRPr="00815C20" w:rsidRDefault="00A7064F" w:rsidP="00A35A5E">
            <w:pPr>
              <w:jc w:val="both"/>
            </w:pPr>
            <w:r w:rsidRPr="00815C20">
              <w:t xml:space="preserve">Regular la </w:t>
            </w:r>
            <w:r w:rsidR="00024F00" w:rsidRPr="00815C20">
              <w:t>movi</w:t>
            </w:r>
            <w:r w:rsidRPr="00815C20">
              <w:t>lidad</w:t>
            </w:r>
            <w:r w:rsidR="00024F00" w:rsidRPr="00815C20">
              <w:t xml:space="preserve"> de</w:t>
            </w:r>
            <w:r w:rsidRPr="00815C20">
              <w:t xml:space="preserve"> </w:t>
            </w:r>
            <w:r w:rsidR="00024F00" w:rsidRPr="00815C20">
              <w:t>la Zona Centro, en donde se localiza dentro de sus 42 Manzanas que le conforman el Programa “Pueblo Mágico”</w:t>
            </w:r>
            <w:r w:rsidR="00A35A5E" w:rsidRPr="00815C20">
              <w:t>,</w:t>
            </w:r>
            <w:r w:rsidR="00024F00" w:rsidRPr="00815C20">
              <w:t xml:space="preserve"> </w:t>
            </w:r>
            <w:r w:rsidR="00A35A5E" w:rsidRPr="00815C20">
              <w:t>a</w:t>
            </w:r>
            <w:r w:rsidR="00024F00" w:rsidRPr="00815C20">
              <w:t xml:space="preserve"> través de estrategias de vialidades y accesos</w:t>
            </w:r>
            <w:r w:rsidR="00A35A5E" w:rsidRPr="00815C20">
              <w:t xml:space="preserve"> incluyentes, con la balización y señalética necesaria para su ordenamiento. Impulsando la reeducación vial del Pueblo Mágico mediante la estrategia de circulación vehicular uno a uno.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7064F" w:rsidRPr="00815C20" w:rsidRDefault="00A7064F" w:rsidP="00A7064F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A7064F" w:rsidRPr="00815C20" w:rsidRDefault="00A7064F" w:rsidP="00A7064F">
            <w:pPr>
              <w:jc w:val="both"/>
            </w:pPr>
          </w:p>
        </w:tc>
      </w:tr>
      <w:tr w:rsidR="00815C20" w:rsidRPr="00815C20" w:rsidTr="00A7064F">
        <w:tc>
          <w:tcPr>
            <w:tcW w:w="3397" w:type="dxa"/>
            <w:gridSpan w:val="4"/>
            <w:shd w:val="clear" w:color="auto" w:fill="D9D9D9" w:themeFill="background1" w:themeFillShade="D9"/>
          </w:tcPr>
          <w:p w:rsidR="00545CF6" w:rsidRPr="00815C20" w:rsidRDefault="00545CF6" w:rsidP="00545CF6">
            <w:pPr>
              <w:jc w:val="both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3" w:type="dxa"/>
            <w:gridSpan w:val="9"/>
          </w:tcPr>
          <w:p w:rsidR="00545CF6" w:rsidRPr="00815C20" w:rsidRDefault="00545CF6" w:rsidP="00545CF6">
            <w:pPr>
              <w:jc w:val="both"/>
            </w:pPr>
            <w:r w:rsidRPr="00815C20">
              <w:t>1 Dependencia de la Administración Pública Municipal.</w:t>
            </w:r>
          </w:p>
        </w:tc>
      </w:tr>
      <w:tr w:rsidR="00815C20" w:rsidRPr="00815C20" w:rsidTr="00A7064F">
        <w:tc>
          <w:tcPr>
            <w:tcW w:w="3953" w:type="dxa"/>
            <w:gridSpan w:val="5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</w:pPr>
            <w:r w:rsidRPr="00815C20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</w:pPr>
            <w:r w:rsidRPr="00815C20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</w:pPr>
            <w:r w:rsidRPr="00815C20">
              <w:t>J)Fecha de Inicio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</w:pPr>
            <w:r w:rsidRPr="00815C20">
              <w:t>K)Fecha de Cierre</w:t>
            </w:r>
          </w:p>
        </w:tc>
      </w:tr>
      <w:tr w:rsidR="00815C20" w:rsidRPr="00815C20" w:rsidTr="00A7064F">
        <w:tc>
          <w:tcPr>
            <w:tcW w:w="1057" w:type="dxa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7064F" w:rsidRPr="00815C20" w:rsidRDefault="00A7064F" w:rsidP="00E64455">
            <w:pPr>
              <w:jc w:val="center"/>
            </w:pPr>
            <w:r w:rsidRPr="00815C20">
              <w:t>01 Octubre 2018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A7064F" w:rsidRPr="00815C20" w:rsidRDefault="00A7064F" w:rsidP="00E64455">
            <w:pPr>
              <w:jc w:val="center"/>
            </w:pPr>
            <w:r w:rsidRPr="00815C20">
              <w:t>30 Septiembre 2019</w:t>
            </w:r>
          </w:p>
        </w:tc>
      </w:tr>
      <w:tr w:rsidR="00815C20" w:rsidRPr="00815C20" w:rsidTr="00A7064F">
        <w:tc>
          <w:tcPr>
            <w:tcW w:w="1057" w:type="dxa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7064F" w:rsidRPr="00815C20" w:rsidRDefault="00A7064F" w:rsidP="00E64455">
            <w:pPr>
              <w:jc w:val="center"/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A7064F" w:rsidRPr="00815C20" w:rsidRDefault="00A7064F" w:rsidP="00E64455">
            <w:pPr>
              <w:jc w:val="center"/>
            </w:pPr>
          </w:p>
        </w:tc>
      </w:tr>
      <w:tr w:rsidR="00815C20" w:rsidRPr="00815C20" w:rsidTr="00A7064F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064F" w:rsidRPr="00815C20" w:rsidRDefault="00A7064F" w:rsidP="00E64455">
            <w:pPr>
              <w:jc w:val="center"/>
            </w:pPr>
            <w:r w:rsidRPr="00815C20">
              <w:t>L)Monto total estimado</w:t>
            </w:r>
          </w:p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7064F" w:rsidRPr="00815C20" w:rsidRDefault="00A7064F" w:rsidP="00E64455">
            <w:pPr>
              <w:jc w:val="center"/>
            </w:pPr>
            <w:r w:rsidRPr="00815C20">
              <w:t>M)Categoría para Presupuesto</w:t>
            </w:r>
          </w:p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 xml:space="preserve">(c) Fondos del Gobierno  </w:t>
            </w:r>
          </w:p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Federal o Estatal</w:t>
            </w:r>
          </w:p>
        </w:tc>
      </w:tr>
      <w:tr w:rsidR="00815C20" w:rsidRPr="00815C20" w:rsidTr="00A7064F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7064F" w:rsidRPr="00815C20" w:rsidRDefault="00A7064F" w:rsidP="00E6445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A7064F" w:rsidRPr="00815C20" w:rsidRDefault="00A7064F" w:rsidP="00E64455">
            <w:pPr>
              <w:jc w:val="center"/>
            </w:pPr>
            <w:r w:rsidRPr="00815C2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10" w:type="dxa"/>
            <w:shd w:val="clear" w:color="auto" w:fill="auto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 xml:space="preserve">Participación </w:t>
            </w:r>
          </w:p>
          <w:p w:rsidR="00A7064F" w:rsidRPr="00815C20" w:rsidRDefault="00A7064F" w:rsidP="00E64455">
            <w:pPr>
              <w:jc w:val="center"/>
            </w:pPr>
            <w:r w:rsidRPr="00815C20">
              <w:rPr>
                <w:sz w:val="20"/>
                <w:szCs w:val="20"/>
              </w:rPr>
              <w:t>Federal /Estatal</w:t>
            </w:r>
          </w:p>
        </w:tc>
      </w:tr>
      <w:tr w:rsidR="00815C20" w:rsidRPr="00815C20" w:rsidTr="00A7064F">
        <w:tc>
          <w:tcPr>
            <w:tcW w:w="2970" w:type="dxa"/>
            <w:gridSpan w:val="3"/>
            <w:shd w:val="clear" w:color="auto" w:fill="FFFFFF" w:themeFill="background1"/>
          </w:tcPr>
          <w:p w:rsidR="00A7064F" w:rsidRPr="00815C20" w:rsidRDefault="00C82BD4" w:rsidP="00C82BD4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15C20">
              <w:rPr>
                <w:sz w:val="20"/>
                <w:szCs w:val="20"/>
              </w:rPr>
              <w:t>*Por definir costo del proyecto.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A7064F" w:rsidRPr="00815C20" w:rsidRDefault="00A7064F" w:rsidP="00E6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A7064F" w:rsidRPr="00815C20" w:rsidRDefault="00A7064F" w:rsidP="00E6445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A7064F" w:rsidRPr="00815C20" w:rsidRDefault="00A7064F" w:rsidP="00E64455">
            <w:pPr>
              <w:jc w:val="center"/>
            </w:pPr>
            <w:r w:rsidRPr="00815C20">
              <w:t>X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A7064F" w:rsidRPr="00815C20" w:rsidRDefault="00A7064F" w:rsidP="00E64455">
            <w:pPr>
              <w:jc w:val="center"/>
            </w:pPr>
            <w:r w:rsidRPr="00815C20">
              <w:t>X</w:t>
            </w:r>
          </w:p>
        </w:tc>
      </w:tr>
    </w:tbl>
    <w:p w:rsidR="00985B24" w:rsidRPr="00815C20" w:rsidRDefault="00985B24" w:rsidP="00985B24"/>
    <w:p w:rsidR="00A65BAF" w:rsidRPr="00815C20" w:rsidRDefault="00A65BAF" w:rsidP="00985B24">
      <w:pPr>
        <w:rPr>
          <w:b/>
        </w:rPr>
      </w:pPr>
    </w:p>
    <w:p w:rsidR="006560DD" w:rsidRPr="00815C20" w:rsidRDefault="006560DD" w:rsidP="00985B24">
      <w:pPr>
        <w:rPr>
          <w:b/>
          <w:sz w:val="40"/>
        </w:rPr>
      </w:pPr>
      <w:r w:rsidRPr="00815C20">
        <w:rPr>
          <w:b/>
          <w:sz w:val="40"/>
        </w:rPr>
        <w:t>ANEXO 2</w:t>
      </w:r>
      <w:r w:rsidR="00985B24" w:rsidRPr="00815C20">
        <w:rPr>
          <w:b/>
          <w:sz w:val="40"/>
        </w:rPr>
        <w:t xml:space="preserve">: </w:t>
      </w:r>
      <w:r w:rsidRPr="00815C20">
        <w:rPr>
          <w:b/>
          <w:sz w:val="40"/>
        </w:rPr>
        <w:t>OPERACIÓN DE LA PROPUESTA</w:t>
      </w:r>
      <w:r w:rsidR="00C82BD4" w:rsidRPr="00815C20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4"/>
        <w:gridCol w:w="1195"/>
        <w:gridCol w:w="1587"/>
        <w:gridCol w:w="1725"/>
        <w:gridCol w:w="1414"/>
        <w:gridCol w:w="1186"/>
        <w:gridCol w:w="946"/>
        <w:gridCol w:w="1336"/>
      </w:tblGrid>
      <w:tr w:rsidR="00815C20" w:rsidRPr="00815C20" w:rsidTr="009824DF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815C20" w:rsidRDefault="006560DD" w:rsidP="00275E11">
            <w:r w:rsidRPr="00815C20">
              <w:t xml:space="preserve">Principal producto esperado (base para el establecimiento de metas) </w:t>
            </w:r>
          </w:p>
        </w:tc>
        <w:tc>
          <w:tcPr>
            <w:tcW w:w="3672" w:type="pct"/>
            <w:gridSpan w:val="7"/>
            <w:shd w:val="clear" w:color="auto" w:fill="auto"/>
          </w:tcPr>
          <w:p w:rsidR="006560DD" w:rsidRPr="00815C20" w:rsidRDefault="00744002" w:rsidP="00B31041">
            <w:pPr>
              <w:jc w:val="both"/>
            </w:pPr>
            <w:r w:rsidRPr="00815C20">
              <w:t xml:space="preserve">Fortalecer mecanismos de Movilidad, basados en la accesibilidad universal y </w:t>
            </w:r>
            <w:r w:rsidR="00B31041" w:rsidRPr="00815C20">
              <w:t xml:space="preserve">el </w:t>
            </w:r>
            <w:r w:rsidRPr="00815C20">
              <w:t>alto uno y uno</w:t>
            </w:r>
            <w:r w:rsidR="00B31041" w:rsidRPr="00815C20">
              <w:t xml:space="preserve"> en la</w:t>
            </w:r>
            <w:r w:rsidRPr="00815C20">
              <w:t xml:space="preserve"> </w:t>
            </w:r>
            <w:r w:rsidR="00B31041" w:rsidRPr="00815C20">
              <w:t>Z</w:t>
            </w:r>
            <w:r w:rsidRPr="00815C20">
              <w:t xml:space="preserve">ona </w:t>
            </w:r>
            <w:r w:rsidR="00B31041" w:rsidRPr="00815C20">
              <w:t>C</w:t>
            </w:r>
            <w:r w:rsidRPr="00815C20">
              <w:t>entro del primer cuadro del Municipio de San Pedro Tlaquepaque.</w:t>
            </w:r>
          </w:p>
        </w:tc>
      </w:tr>
      <w:tr w:rsidR="00815C20" w:rsidRPr="00815C20" w:rsidTr="009824DF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815C20" w:rsidRDefault="006560DD" w:rsidP="00275E11">
            <w:r w:rsidRPr="00815C20">
              <w:t>Actividades a realizar para la obtención del producto esperado</w:t>
            </w:r>
          </w:p>
        </w:tc>
        <w:tc>
          <w:tcPr>
            <w:tcW w:w="3672" w:type="pct"/>
            <w:gridSpan w:val="7"/>
            <w:shd w:val="clear" w:color="auto" w:fill="auto"/>
          </w:tcPr>
          <w:p w:rsidR="00552C21" w:rsidRPr="00815C20" w:rsidRDefault="00106430" w:rsidP="00106430">
            <w:pPr>
              <w:jc w:val="both"/>
            </w:pPr>
            <w:r w:rsidRPr="00815C20">
              <w:rPr>
                <w:rFonts w:cstheme="minorHAnsi"/>
              </w:rPr>
              <w:t xml:space="preserve">Elaboración, aprobación y autorización del Proyecto Ejecutivo. </w:t>
            </w:r>
            <w:r w:rsidR="00552C21" w:rsidRPr="00815C20">
              <w:t>Diagnostico</w:t>
            </w:r>
            <w:r w:rsidR="005E0399" w:rsidRPr="00815C20">
              <w:t>.</w:t>
            </w:r>
            <w:r w:rsidR="00552C21" w:rsidRPr="00815C20">
              <w:t xml:space="preserve"> Planea</w:t>
            </w:r>
            <w:r w:rsidR="005E0399" w:rsidRPr="00815C20">
              <w:t>ción y elaboración del proyecto.</w:t>
            </w:r>
            <w:r w:rsidRPr="00815C20">
              <w:t xml:space="preserve"> </w:t>
            </w:r>
            <w:r w:rsidR="00552C21" w:rsidRPr="00815C20">
              <w:t>Gestión de los recursos</w:t>
            </w:r>
            <w:r w:rsidR="005E0399" w:rsidRPr="00815C20">
              <w:t>.</w:t>
            </w:r>
            <w:r w:rsidRPr="00815C20">
              <w:t xml:space="preserve"> </w:t>
            </w:r>
            <w:r w:rsidR="00552C21" w:rsidRPr="00815C20">
              <w:t>Campaña de  difusión</w:t>
            </w:r>
            <w:r w:rsidR="005E0399" w:rsidRPr="00815C20">
              <w:t>.</w:t>
            </w:r>
            <w:r w:rsidRPr="00815C20">
              <w:t xml:space="preserve"> </w:t>
            </w:r>
            <w:r w:rsidR="001D7D48" w:rsidRPr="00815C20">
              <w:t>Señalamientos horizontales  y verticales</w:t>
            </w:r>
            <w:r w:rsidR="005E0399" w:rsidRPr="00815C20">
              <w:t>.</w:t>
            </w:r>
          </w:p>
          <w:p w:rsidR="001D7D48" w:rsidRPr="00815C20" w:rsidRDefault="001D7D48" w:rsidP="00744002">
            <w:pPr>
              <w:jc w:val="both"/>
            </w:pPr>
            <w:r w:rsidRPr="00815C20">
              <w:t xml:space="preserve">Implementación </w:t>
            </w:r>
            <w:r w:rsidR="00633391" w:rsidRPr="00815C20">
              <w:t xml:space="preserve">de </w:t>
            </w:r>
            <w:r w:rsidR="009824DF" w:rsidRPr="00815C20">
              <w:t xml:space="preserve">estrategia de circulación </w:t>
            </w:r>
            <w:r w:rsidRPr="00815C20">
              <w:t xml:space="preserve">uno </w:t>
            </w:r>
            <w:r w:rsidR="009824DF" w:rsidRPr="00815C20">
              <w:t xml:space="preserve">a </w:t>
            </w:r>
            <w:r w:rsidRPr="00815C20">
              <w:t>uno</w:t>
            </w:r>
            <w:r w:rsidR="005E0399" w:rsidRPr="00815C20">
              <w:t>.</w:t>
            </w:r>
            <w:r w:rsidR="00106430" w:rsidRPr="00815C20">
              <w:t xml:space="preserve"> </w:t>
            </w:r>
            <w:r w:rsidR="00106430" w:rsidRPr="00815C20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815C20" w:rsidRPr="00815C20" w:rsidTr="009824DF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815C20" w:rsidRDefault="00A80D75" w:rsidP="00275E11">
            <w:r w:rsidRPr="00815C20">
              <w:t>Objetivos del programa estratégico</w:t>
            </w:r>
            <w:r w:rsidR="006560DD" w:rsidRPr="00815C20">
              <w:t xml:space="preserve"> </w:t>
            </w:r>
          </w:p>
        </w:tc>
        <w:tc>
          <w:tcPr>
            <w:tcW w:w="3672" w:type="pct"/>
            <w:gridSpan w:val="7"/>
            <w:shd w:val="clear" w:color="auto" w:fill="FABF8F" w:themeFill="accent6" w:themeFillTint="99"/>
          </w:tcPr>
          <w:p w:rsidR="006560DD" w:rsidRPr="00815C20" w:rsidRDefault="006560DD" w:rsidP="00275E11"/>
        </w:tc>
      </w:tr>
      <w:tr w:rsidR="00815C20" w:rsidRPr="00815C20" w:rsidTr="009824DF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815C20" w:rsidRDefault="006560DD" w:rsidP="00A80D75">
            <w:r w:rsidRPr="00815C20">
              <w:t xml:space="preserve">Indicador </w:t>
            </w:r>
            <w:r w:rsidR="00A80D75" w:rsidRPr="00815C20">
              <w:t xml:space="preserve">del programa estratégico al que contribuye </w:t>
            </w:r>
            <w:r w:rsidRPr="00815C20">
              <w:t xml:space="preserve"> </w:t>
            </w:r>
          </w:p>
        </w:tc>
        <w:tc>
          <w:tcPr>
            <w:tcW w:w="3672" w:type="pct"/>
            <w:gridSpan w:val="7"/>
            <w:shd w:val="clear" w:color="auto" w:fill="FABF8F" w:themeFill="accent6" w:themeFillTint="99"/>
          </w:tcPr>
          <w:p w:rsidR="006560DD" w:rsidRPr="00815C20" w:rsidRDefault="006560DD" w:rsidP="00275E11"/>
        </w:tc>
      </w:tr>
      <w:tr w:rsidR="00815C20" w:rsidRPr="00815C20" w:rsidTr="00A638E6">
        <w:tc>
          <w:tcPr>
            <w:tcW w:w="1328" w:type="pct"/>
            <w:vMerge w:val="restart"/>
            <w:shd w:val="clear" w:color="auto" w:fill="D9D9D9" w:themeFill="background1" w:themeFillShade="D9"/>
          </w:tcPr>
          <w:p w:rsidR="006560DD" w:rsidRPr="00815C20" w:rsidRDefault="00A80D75" w:rsidP="00A80D75">
            <w:r w:rsidRPr="00815C20">
              <w:t xml:space="preserve">Beneficios </w:t>
            </w:r>
          </w:p>
        </w:tc>
        <w:tc>
          <w:tcPr>
            <w:tcW w:w="1088" w:type="pct"/>
            <w:gridSpan w:val="2"/>
            <w:shd w:val="clear" w:color="auto" w:fill="D9D9D9" w:themeFill="background1" w:themeFillShade="D9"/>
          </w:tcPr>
          <w:p w:rsidR="006560DD" w:rsidRPr="00815C20" w:rsidRDefault="006560DD" w:rsidP="00275E11">
            <w:pPr>
              <w:jc w:val="center"/>
            </w:pPr>
            <w:r w:rsidRPr="00815C20">
              <w:t>Corto Plazo</w:t>
            </w:r>
          </w:p>
        </w:tc>
        <w:tc>
          <w:tcPr>
            <w:tcW w:w="1228" w:type="pct"/>
            <w:gridSpan w:val="2"/>
            <w:shd w:val="clear" w:color="auto" w:fill="D9D9D9" w:themeFill="background1" w:themeFillShade="D9"/>
          </w:tcPr>
          <w:p w:rsidR="006560DD" w:rsidRPr="00815C20" w:rsidRDefault="006560DD" w:rsidP="00275E11">
            <w:pPr>
              <w:jc w:val="center"/>
            </w:pPr>
            <w:r w:rsidRPr="00815C20">
              <w:t>Mediano Plazo</w:t>
            </w:r>
          </w:p>
        </w:tc>
        <w:tc>
          <w:tcPr>
            <w:tcW w:w="1357" w:type="pct"/>
            <w:gridSpan w:val="3"/>
            <w:shd w:val="clear" w:color="auto" w:fill="D9D9D9" w:themeFill="background1" w:themeFillShade="D9"/>
          </w:tcPr>
          <w:p w:rsidR="006560DD" w:rsidRPr="00815C20" w:rsidRDefault="006560DD" w:rsidP="00275E11">
            <w:pPr>
              <w:jc w:val="center"/>
            </w:pPr>
            <w:r w:rsidRPr="00815C20">
              <w:t>Largo Plazo</w:t>
            </w:r>
          </w:p>
        </w:tc>
      </w:tr>
      <w:tr w:rsidR="00815C20" w:rsidRPr="00815C20" w:rsidTr="00A638E6">
        <w:tc>
          <w:tcPr>
            <w:tcW w:w="1328" w:type="pct"/>
            <w:vMerge/>
            <w:shd w:val="clear" w:color="auto" w:fill="D9D9D9" w:themeFill="background1" w:themeFillShade="D9"/>
          </w:tcPr>
          <w:p w:rsidR="006560DD" w:rsidRPr="00815C20" w:rsidRDefault="006560DD" w:rsidP="00275E11">
            <w:pPr>
              <w:jc w:val="center"/>
            </w:pPr>
          </w:p>
        </w:tc>
        <w:tc>
          <w:tcPr>
            <w:tcW w:w="1088" w:type="pct"/>
            <w:gridSpan w:val="2"/>
            <w:shd w:val="clear" w:color="auto" w:fill="auto"/>
          </w:tcPr>
          <w:p w:rsidR="006560DD" w:rsidRPr="00815C20" w:rsidRDefault="006560DD" w:rsidP="00275E11">
            <w:pPr>
              <w:jc w:val="center"/>
            </w:pPr>
          </w:p>
        </w:tc>
        <w:tc>
          <w:tcPr>
            <w:tcW w:w="1228" w:type="pct"/>
            <w:gridSpan w:val="2"/>
            <w:shd w:val="clear" w:color="auto" w:fill="auto"/>
          </w:tcPr>
          <w:p w:rsidR="006560DD" w:rsidRPr="00815C20" w:rsidRDefault="00AE7AF6" w:rsidP="00275E11">
            <w:pPr>
              <w:jc w:val="center"/>
            </w:pPr>
            <w:r w:rsidRPr="00815C20">
              <w:t>X</w:t>
            </w:r>
          </w:p>
        </w:tc>
        <w:tc>
          <w:tcPr>
            <w:tcW w:w="1357" w:type="pct"/>
            <w:gridSpan w:val="3"/>
            <w:shd w:val="clear" w:color="auto" w:fill="auto"/>
          </w:tcPr>
          <w:p w:rsidR="006560DD" w:rsidRPr="00815C20" w:rsidRDefault="006560DD" w:rsidP="00275E11">
            <w:pPr>
              <w:jc w:val="center"/>
            </w:pPr>
          </w:p>
        </w:tc>
      </w:tr>
      <w:tr w:rsidR="00815C20" w:rsidRPr="00815C20" w:rsidTr="007A2E61">
        <w:trPr>
          <w:trHeight w:val="579"/>
        </w:trPr>
        <w:tc>
          <w:tcPr>
            <w:tcW w:w="1328" w:type="pct"/>
            <w:vMerge w:val="restart"/>
            <w:shd w:val="clear" w:color="auto" w:fill="D9D9D9" w:themeFill="background1" w:themeFillShade="D9"/>
          </w:tcPr>
          <w:p w:rsidR="001A597F" w:rsidRPr="00815C20" w:rsidRDefault="001A597F" w:rsidP="00A80D75">
            <w:r w:rsidRPr="00815C20">
              <w:t xml:space="preserve">Nombre del Indicador 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:rsidR="001A597F" w:rsidRPr="00815C20" w:rsidRDefault="001A597F" w:rsidP="00A80D75">
            <w:pPr>
              <w:jc w:val="center"/>
              <w:rPr>
                <w:b/>
              </w:rPr>
            </w:pPr>
            <w:r w:rsidRPr="00815C20">
              <w:rPr>
                <w:b/>
              </w:rPr>
              <w:t xml:space="preserve">Dimensión a medir </w:t>
            </w:r>
          </w:p>
        </w:tc>
        <w:tc>
          <w:tcPr>
            <w:tcW w:w="620" w:type="pct"/>
            <w:vMerge w:val="restart"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  <w:r w:rsidRPr="00815C20">
              <w:t xml:space="preserve">Definición del indicador 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  <w:r w:rsidRPr="00815C20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815C20" w:rsidRDefault="001A597F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  <w:r w:rsidRPr="00815C20">
              <w:t xml:space="preserve">Frecuencia de medida 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  <w:r w:rsidRPr="00815C20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815C20" w:rsidRDefault="001A597F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Meta programada</w:t>
            </w:r>
          </w:p>
        </w:tc>
      </w:tr>
      <w:tr w:rsidR="00815C20" w:rsidRPr="00815C20" w:rsidTr="007A2E61">
        <w:trPr>
          <w:trHeight w:val="405"/>
        </w:trPr>
        <w:tc>
          <w:tcPr>
            <w:tcW w:w="1328" w:type="pct"/>
            <w:vMerge/>
            <w:shd w:val="clear" w:color="auto" w:fill="D9D9D9" w:themeFill="background1" w:themeFillShade="D9"/>
          </w:tcPr>
          <w:p w:rsidR="001A597F" w:rsidRPr="00815C20" w:rsidRDefault="001A597F" w:rsidP="00A80D75"/>
        </w:tc>
        <w:tc>
          <w:tcPr>
            <w:tcW w:w="467" w:type="pct"/>
            <w:shd w:val="clear" w:color="auto" w:fill="A6A6A6" w:themeFill="background1" w:themeFillShade="A6"/>
          </w:tcPr>
          <w:p w:rsidR="001A597F" w:rsidRPr="00815C20" w:rsidRDefault="001A597F" w:rsidP="009824DF">
            <w:pPr>
              <w:pStyle w:val="Prrafodelista"/>
              <w:numPr>
                <w:ilvl w:val="0"/>
                <w:numId w:val="1"/>
              </w:numPr>
              <w:ind w:left="180" w:hanging="180"/>
              <w:rPr>
                <w:b/>
                <w:sz w:val="16"/>
                <w:szCs w:val="16"/>
              </w:rPr>
            </w:pPr>
            <w:r w:rsidRPr="00815C20">
              <w:rPr>
                <w:b/>
                <w:sz w:val="16"/>
                <w:szCs w:val="16"/>
              </w:rPr>
              <w:t>Eficacia</w:t>
            </w:r>
          </w:p>
          <w:p w:rsidR="001A597F" w:rsidRPr="00815C20" w:rsidRDefault="001A597F" w:rsidP="009824DF">
            <w:pPr>
              <w:pStyle w:val="Prrafodelista"/>
              <w:numPr>
                <w:ilvl w:val="0"/>
                <w:numId w:val="1"/>
              </w:numPr>
              <w:ind w:left="180" w:hanging="180"/>
              <w:rPr>
                <w:b/>
                <w:sz w:val="16"/>
                <w:szCs w:val="16"/>
              </w:rPr>
            </w:pPr>
            <w:r w:rsidRPr="00815C20">
              <w:rPr>
                <w:b/>
                <w:sz w:val="16"/>
                <w:szCs w:val="16"/>
              </w:rPr>
              <w:t>Eficiencia</w:t>
            </w:r>
          </w:p>
          <w:p w:rsidR="001A597F" w:rsidRPr="00815C20" w:rsidRDefault="001A597F" w:rsidP="009824DF">
            <w:pPr>
              <w:pStyle w:val="Prrafodelista"/>
              <w:numPr>
                <w:ilvl w:val="0"/>
                <w:numId w:val="1"/>
              </w:numPr>
              <w:ind w:left="180" w:hanging="180"/>
              <w:rPr>
                <w:b/>
                <w:sz w:val="16"/>
                <w:szCs w:val="16"/>
              </w:rPr>
            </w:pPr>
            <w:r w:rsidRPr="00815C20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815C20" w:rsidRDefault="001A597F" w:rsidP="009824DF">
            <w:pPr>
              <w:pStyle w:val="Prrafodelista"/>
              <w:numPr>
                <w:ilvl w:val="0"/>
                <w:numId w:val="1"/>
              </w:numPr>
              <w:ind w:left="180" w:hanging="180"/>
              <w:rPr>
                <w:b/>
              </w:rPr>
            </w:pPr>
            <w:r w:rsidRPr="00815C2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20" w:type="pct"/>
            <w:vMerge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815C20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</w:tcPr>
          <w:p w:rsidR="001A597F" w:rsidRPr="00815C20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815C20" w:rsidRDefault="001A597F" w:rsidP="00275E11">
            <w:pPr>
              <w:jc w:val="center"/>
            </w:pPr>
          </w:p>
        </w:tc>
      </w:tr>
      <w:tr w:rsidR="00815C20" w:rsidRPr="00815C20" w:rsidTr="007A2E61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C82BD4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815C20">
              <w:rPr>
                <w:rFonts w:ascii="Calibri" w:eastAsia="Times New Roman" w:hAnsi="Calibri" w:cs="Calibri"/>
              </w:rPr>
              <w:t xml:space="preserve">Porcentaje de avance del </w:t>
            </w:r>
            <w:r w:rsidRPr="00815C20">
              <w:t>Proyecto accesibilidad universal y alto uno y uno zona centro primer cuadro.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8A5D69" w:rsidP="008A5D69">
            <w:pPr>
              <w:jc w:val="center"/>
              <w:rPr>
                <w:rFonts w:ascii="Calibri" w:hAnsi="Calibri" w:cs="Calibri"/>
              </w:rPr>
            </w:pPr>
            <w:r w:rsidRPr="00815C20">
              <w:rPr>
                <w:rFonts w:ascii="Calibri" w:hAnsi="Calibri" w:cs="Calibri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8A5D69" w:rsidP="008A5D69">
            <w:pPr>
              <w:jc w:val="center"/>
              <w:rPr>
                <w:rFonts w:ascii="Calibri" w:hAnsi="Calibri" w:cs="Calibri"/>
              </w:rPr>
            </w:pPr>
            <w:r w:rsidRPr="00815C20">
              <w:t>Proyecto accesibilidad universal y alto uno y uno zona centro primer cuadro, implementado.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DA5AC4" w:rsidP="00DA5A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5C20">
              <w:rPr>
                <w:rFonts w:ascii="Calibri" w:hAnsi="Calibri" w:cs="Calibri"/>
                <w:sz w:val="18"/>
                <w:szCs w:val="18"/>
              </w:rPr>
              <w:t>(</w:t>
            </w:r>
            <w:r w:rsidR="007A2E61" w:rsidRPr="00815C20">
              <w:rPr>
                <w:rFonts w:ascii="Calibri" w:hAnsi="Calibri" w:cs="Calibri"/>
                <w:sz w:val="18"/>
                <w:szCs w:val="18"/>
              </w:rPr>
              <w:t>Número de etapas</w:t>
            </w:r>
            <w:r w:rsidRPr="00815C20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r w:rsidRPr="00815C20">
              <w:rPr>
                <w:sz w:val="18"/>
                <w:szCs w:val="18"/>
              </w:rPr>
              <w:t>Proyecto accesibilidad universal y alto uno y uno zona centro primer cuadro realizadas/</w:t>
            </w:r>
            <w:r w:rsidRPr="00815C20">
              <w:rPr>
                <w:rFonts w:ascii="Calibri" w:hAnsi="Calibri" w:cs="Calibri"/>
                <w:sz w:val="18"/>
                <w:szCs w:val="18"/>
              </w:rPr>
              <w:t xml:space="preserve"> Número Total de etapas del </w:t>
            </w:r>
            <w:r w:rsidRPr="00815C20">
              <w:rPr>
                <w:sz w:val="18"/>
                <w:szCs w:val="18"/>
              </w:rPr>
              <w:t>Proyecto)*100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8A5D69" w:rsidP="00613CE2">
            <w:pPr>
              <w:jc w:val="center"/>
              <w:rPr>
                <w:rFonts w:ascii="Calibri" w:hAnsi="Calibri" w:cs="Calibri"/>
              </w:rPr>
            </w:pPr>
            <w:r w:rsidRPr="00815C20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8A5D69" w:rsidP="00613CE2">
            <w:pPr>
              <w:jc w:val="center"/>
              <w:rPr>
                <w:rFonts w:ascii="Calibri" w:hAnsi="Calibri" w:cs="Calibri"/>
              </w:rPr>
            </w:pPr>
            <w:r w:rsidRPr="00815C20">
              <w:rPr>
                <w:rFonts w:ascii="Calibri" w:hAnsi="Calibri" w:cs="Calibri"/>
              </w:rPr>
              <w:t>Trimestral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8A5D69" w:rsidP="00613CE2">
            <w:pPr>
              <w:jc w:val="center"/>
              <w:rPr>
                <w:rFonts w:ascii="Calibri" w:hAnsi="Calibri" w:cs="Calibri"/>
              </w:rPr>
            </w:pPr>
            <w:r w:rsidRPr="00815C20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15C20" w:rsidRDefault="008A5D69" w:rsidP="00613CE2">
            <w:pPr>
              <w:jc w:val="center"/>
              <w:rPr>
                <w:rFonts w:ascii="Calibri" w:hAnsi="Calibri" w:cs="Calibri"/>
              </w:rPr>
            </w:pPr>
            <w:r w:rsidRPr="00815C20">
              <w:rPr>
                <w:rFonts w:ascii="Calibri" w:hAnsi="Calibri" w:cs="Calibri"/>
              </w:rPr>
              <w:t>100%</w:t>
            </w:r>
          </w:p>
        </w:tc>
      </w:tr>
      <w:tr w:rsidR="00815C20" w:rsidRPr="00815C20" w:rsidTr="007A2E61">
        <w:tc>
          <w:tcPr>
            <w:tcW w:w="2415" w:type="pct"/>
            <w:gridSpan w:val="3"/>
            <w:shd w:val="clear" w:color="auto" w:fill="D9D9D9" w:themeFill="background1" w:themeFillShade="D9"/>
          </w:tcPr>
          <w:p w:rsidR="0057477E" w:rsidRPr="00815C20" w:rsidRDefault="006560DD" w:rsidP="009824DF">
            <w:r w:rsidRPr="00815C20">
              <w:t>Clave</w:t>
            </w:r>
            <w:r w:rsidR="0057477E" w:rsidRPr="00815C20">
              <w:t xml:space="preserve"> presupuestal </w:t>
            </w:r>
            <w:r w:rsidRPr="00815C20">
              <w:t xml:space="preserve">determinada </w:t>
            </w:r>
            <w:r w:rsidR="0057477E" w:rsidRPr="00815C20">
              <w:t>para seguimiento del gasto</w:t>
            </w:r>
            <w:r w:rsidR="009824DF" w:rsidRPr="00815C20">
              <w:t>.</w:t>
            </w:r>
          </w:p>
        </w:tc>
        <w:tc>
          <w:tcPr>
            <w:tcW w:w="2585" w:type="pct"/>
            <w:gridSpan w:val="5"/>
            <w:shd w:val="clear" w:color="auto" w:fill="FABF8F" w:themeFill="accent6" w:themeFillTint="99"/>
          </w:tcPr>
          <w:p w:rsidR="006560DD" w:rsidRPr="00815C20" w:rsidRDefault="006560DD" w:rsidP="00275E11"/>
        </w:tc>
      </w:tr>
    </w:tbl>
    <w:p w:rsidR="006560DD" w:rsidRPr="00815C20" w:rsidRDefault="006560DD" w:rsidP="006560DD"/>
    <w:p w:rsidR="0057477E" w:rsidRPr="00815C20" w:rsidRDefault="0057477E" w:rsidP="006560DD"/>
    <w:p w:rsidR="0057477E" w:rsidRPr="00815C20" w:rsidRDefault="0057477E" w:rsidP="006560DD"/>
    <w:p w:rsidR="005C50F9" w:rsidRPr="00815C20" w:rsidRDefault="005C50F9" w:rsidP="005C50F9">
      <w:pPr>
        <w:rPr>
          <w:b/>
          <w:sz w:val="40"/>
        </w:rPr>
      </w:pPr>
      <w:r w:rsidRPr="00815C20">
        <w:rPr>
          <w:b/>
          <w:sz w:val="40"/>
        </w:rPr>
        <w:t>CRONOGRAMA DE ACTIVIDADES</w:t>
      </w:r>
      <w:r w:rsidR="00A638E6" w:rsidRPr="00815C20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15C20" w:rsidRPr="00815C20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815C20" w:rsidRDefault="006560DD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Cronograma Anual  de Actividades</w:t>
            </w:r>
          </w:p>
        </w:tc>
      </w:tr>
      <w:tr w:rsidR="00815C20" w:rsidRPr="00815C20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815C20" w:rsidRDefault="006560DD" w:rsidP="00275E11">
            <w:pPr>
              <w:rPr>
                <w:b/>
              </w:rPr>
            </w:pPr>
            <w:r w:rsidRPr="00815C2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815C20" w:rsidRDefault="0057477E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2018 - 2019</w:t>
            </w: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815C20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815C20" w:rsidRDefault="00B64EE1" w:rsidP="00275E11">
            <w:pPr>
              <w:jc w:val="center"/>
              <w:rPr>
                <w:b/>
              </w:rPr>
            </w:pPr>
            <w:r w:rsidRPr="00815C20">
              <w:rPr>
                <w:b/>
              </w:rPr>
              <w:t>SEP</w:t>
            </w: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33391" w:rsidRPr="00815C20" w:rsidRDefault="00633391" w:rsidP="00633391">
            <w:pPr>
              <w:spacing w:line="256" w:lineRule="auto"/>
              <w:jc w:val="both"/>
              <w:rPr>
                <w:rFonts w:cstheme="minorHAnsi"/>
              </w:rPr>
            </w:pPr>
            <w:r w:rsidRPr="00815C2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33391" w:rsidRPr="00815C20" w:rsidRDefault="00633391" w:rsidP="00633391">
            <w:pPr>
              <w:jc w:val="both"/>
            </w:pPr>
            <w:r w:rsidRPr="00815C20">
              <w:t>Diagnostico</w:t>
            </w:r>
          </w:p>
        </w:tc>
        <w:tc>
          <w:tcPr>
            <w:tcW w:w="25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33391" w:rsidRPr="00815C20" w:rsidRDefault="00633391" w:rsidP="00633391">
            <w:pPr>
              <w:jc w:val="both"/>
            </w:pPr>
            <w:r w:rsidRPr="00815C20">
              <w:t>Planeación y elaboración del proyecto</w:t>
            </w:r>
          </w:p>
        </w:tc>
        <w:tc>
          <w:tcPr>
            <w:tcW w:w="25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33391" w:rsidRPr="00815C20" w:rsidRDefault="00633391" w:rsidP="00633391">
            <w:pPr>
              <w:jc w:val="both"/>
            </w:pPr>
            <w:r w:rsidRPr="00815C20">
              <w:t>Gestión de los recursos</w:t>
            </w:r>
            <w:r w:rsidR="00A638E6" w:rsidRPr="00815C20">
              <w:t>.</w:t>
            </w:r>
          </w:p>
        </w:tc>
        <w:tc>
          <w:tcPr>
            <w:tcW w:w="25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3391" w:rsidRPr="00815C20" w:rsidRDefault="00A638E6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3391" w:rsidRPr="00815C20" w:rsidRDefault="00A638E6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3391" w:rsidRPr="00815C20" w:rsidRDefault="00A638E6" w:rsidP="00633391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33391" w:rsidRPr="00815C20" w:rsidRDefault="00633391" w:rsidP="00633391">
            <w:pPr>
              <w:jc w:val="center"/>
              <w:rPr>
                <w:sz w:val="20"/>
              </w:rPr>
            </w:pP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638E6" w:rsidRPr="00815C20" w:rsidRDefault="00A638E6" w:rsidP="00A638E6">
            <w:pPr>
              <w:jc w:val="both"/>
            </w:pPr>
            <w:r w:rsidRPr="00815C20">
              <w:t>Campaña de  difusión</w:t>
            </w:r>
          </w:p>
        </w:tc>
        <w:tc>
          <w:tcPr>
            <w:tcW w:w="25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638E6" w:rsidRPr="00815C20" w:rsidRDefault="00A638E6" w:rsidP="00A638E6">
            <w:pPr>
              <w:jc w:val="both"/>
            </w:pPr>
            <w:r w:rsidRPr="00815C20">
              <w:t>Señalamientos horizontales  y verticales</w:t>
            </w:r>
          </w:p>
        </w:tc>
        <w:tc>
          <w:tcPr>
            <w:tcW w:w="25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638E6" w:rsidRPr="00815C20" w:rsidRDefault="00A638E6" w:rsidP="00A638E6">
            <w:pPr>
              <w:jc w:val="both"/>
            </w:pPr>
            <w:r w:rsidRPr="00815C20">
              <w:t>Implementación de estrategia de circulación uno uno.</w:t>
            </w:r>
          </w:p>
        </w:tc>
        <w:tc>
          <w:tcPr>
            <w:tcW w:w="25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</w:tr>
      <w:tr w:rsidR="00815C20" w:rsidRPr="00815C2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638E6" w:rsidRPr="00815C20" w:rsidRDefault="00A638E6" w:rsidP="00A638E6">
            <w:pPr>
              <w:jc w:val="both"/>
              <w:rPr>
                <w:rFonts w:cstheme="minorHAnsi"/>
                <w:shd w:val="clear" w:color="auto" w:fill="FFFFFF"/>
              </w:rPr>
            </w:pPr>
            <w:r w:rsidRPr="00815C20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</w:tr>
      <w:tr w:rsidR="00A638E6" w:rsidRPr="00815C20" w:rsidTr="00E64455">
        <w:trPr>
          <w:trHeight w:val="57"/>
        </w:trPr>
        <w:tc>
          <w:tcPr>
            <w:tcW w:w="1808" w:type="pct"/>
            <w:shd w:val="clear" w:color="auto" w:fill="auto"/>
          </w:tcPr>
          <w:p w:rsidR="00A638E6" w:rsidRPr="00815C20" w:rsidRDefault="00A638E6" w:rsidP="00A638E6">
            <w:pPr>
              <w:jc w:val="both"/>
              <w:rPr>
                <w:rFonts w:cstheme="minorHAnsi"/>
                <w:shd w:val="clear" w:color="auto" w:fill="FFFFFF"/>
              </w:rPr>
            </w:pPr>
            <w:r w:rsidRPr="00815C2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638E6" w:rsidRPr="00815C20" w:rsidRDefault="00A638E6" w:rsidP="00A638E6">
            <w:pPr>
              <w:jc w:val="center"/>
              <w:rPr>
                <w:sz w:val="20"/>
              </w:rPr>
            </w:pPr>
            <w:r w:rsidRPr="00815C20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815C20" w:rsidRDefault="006560DD" w:rsidP="006560DD">
      <w:pPr>
        <w:rPr>
          <w:sz w:val="16"/>
        </w:rPr>
      </w:pPr>
    </w:p>
    <w:sectPr w:rsidR="006560DD" w:rsidRPr="00815C2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AA" w:rsidRDefault="00354DAA" w:rsidP="00985B24">
      <w:pPr>
        <w:spacing w:after="0" w:line="240" w:lineRule="auto"/>
      </w:pPr>
      <w:r>
        <w:separator/>
      </w:r>
    </w:p>
  </w:endnote>
  <w:endnote w:type="continuationSeparator" w:id="0">
    <w:p w:rsidR="00354DAA" w:rsidRDefault="00354DA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AA" w:rsidRDefault="00354DAA" w:rsidP="00985B24">
      <w:pPr>
        <w:spacing w:after="0" w:line="240" w:lineRule="auto"/>
      </w:pPr>
      <w:r>
        <w:separator/>
      </w:r>
    </w:p>
  </w:footnote>
  <w:footnote w:type="continuationSeparator" w:id="0">
    <w:p w:rsidR="00354DAA" w:rsidRDefault="00354DA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8A5"/>
    <w:multiLevelType w:val="hybridMultilevel"/>
    <w:tmpl w:val="443E50D4"/>
    <w:lvl w:ilvl="0" w:tplc="9E327D1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A08C3"/>
    <w:multiLevelType w:val="hybridMultilevel"/>
    <w:tmpl w:val="65969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99E"/>
    <w:rsid w:val="000014AF"/>
    <w:rsid w:val="00024F00"/>
    <w:rsid w:val="00031BE1"/>
    <w:rsid w:val="000321D2"/>
    <w:rsid w:val="00055E9C"/>
    <w:rsid w:val="00061287"/>
    <w:rsid w:val="00071F00"/>
    <w:rsid w:val="000843BC"/>
    <w:rsid w:val="000A0C0C"/>
    <w:rsid w:val="00106430"/>
    <w:rsid w:val="001324C2"/>
    <w:rsid w:val="00144C96"/>
    <w:rsid w:val="001473C9"/>
    <w:rsid w:val="001A597F"/>
    <w:rsid w:val="001D7D48"/>
    <w:rsid w:val="00205A13"/>
    <w:rsid w:val="00233105"/>
    <w:rsid w:val="0024680E"/>
    <w:rsid w:val="002C6B7C"/>
    <w:rsid w:val="002F08F4"/>
    <w:rsid w:val="00354DAA"/>
    <w:rsid w:val="00363D96"/>
    <w:rsid w:val="00446538"/>
    <w:rsid w:val="00477EE7"/>
    <w:rsid w:val="004A094F"/>
    <w:rsid w:val="005014C2"/>
    <w:rsid w:val="00545CF6"/>
    <w:rsid w:val="00552C21"/>
    <w:rsid w:val="0057477E"/>
    <w:rsid w:val="005C50F9"/>
    <w:rsid w:val="005D2F8B"/>
    <w:rsid w:val="005E0399"/>
    <w:rsid w:val="005E2BC5"/>
    <w:rsid w:val="005F6BB1"/>
    <w:rsid w:val="00613CE2"/>
    <w:rsid w:val="00633391"/>
    <w:rsid w:val="006560DD"/>
    <w:rsid w:val="00697BC8"/>
    <w:rsid w:val="006E70E3"/>
    <w:rsid w:val="007206CD"/>
    <w:rsid w:val="00732918"/>
    <w:rsid w:val="00744002"/>
    <w:rsid w:val="0076351F"/>
    <w:rsid w:val="00763C87"/>
    <w:rsid w:val="007A2E61"/>
    <w:rsid w:val="00815C20"/>
    <w:rsid w:val="008824CC"/>
    <w:rsid w:val="008A3650"/>
    <w:rsid w:val="008A5D69"/>
    <w:rsid w:val="00946B9B"/>
    <w:rsid w:val="009824DF"/>
    <w:rsid w:val="00985B24"/>
    <w:rsid w:val="009B23B5"/>
    <w:rsid w:val="00A35A5E"/>
    <w:rsid w:val="00A624F2"/>
    <w:rsid w:val="00A638E6"/>
    <w:rsid w:val="00A65BAF"/>
    <w:rsid w:val="00A67619"/>
    <w:rsid w:val="00A7064F"/>
    <w:rsid w:val="00A80D75"/>
    <w:rsid w:val="00AA0ED5"/>
    <w:rsid w:val="00AA22B4"/>
    <w:rsid w:val="00AD6073"/>
    <w:rsid w:val="00AE7AF6"/>
    <w:rsid w:val="00B15ABE"/>
    <w:rsid w:val="00B31041"/>
    <w:rsid w:val="00B3346E"/>
    <w:rsid w:val="00B64EE1"/>
    <w:rsid w:val="00B93AFC"/>
    <w:rsid w:val="00BC4825"/>
    <w:rsid w:val="00C26D1D"/>
    <w:rsid w:val="00C3660A"/>
    <w:rsid w:val="00C82BD4"/>
    <w:rsid w:val="00CB4B8A"/>
    <w:rsid w:val="00D86FEF"/>
    <w:rsid w:val="00D8768D"/>
    <w:rsid w:val="00DA5AC4"/>
    <w:rsid w:val="00E12966"/>
    <w:rsid w:val="00E40804"/>
    <w:rsid w:val="00E5470F"/>
    <w:rsid w:val="00E56E59"/>
    <w:rsid w:val="00EF02C3"/>
    <w:rsid w:val="00F62B11"/>
    <w:rsid w:val="00FF080E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DB27AB-5B43-40A9-BA9F-B68C20D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BA97-1583-4C9D-8D1E-D6EDBDE5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2019-01-23T20:23:00Z</dcterms:created>
  <dcterms:modified xsi:type="dcterms:W3CDTF">2019-01-28T18:02:00Z</dcterms:modified>
</cp:coreProperties>
</file>