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974095" w:rsidRPr="00A36869" w:rsidRDefault="00974095" w:rsidP="00974095">
      <w:r w:rsidRPr="00A36869">
        <w:rPr>
          <w:b/>
          <w:sz w:val="40"/>
        </w:rPr>
        <w:t>ANEXO 1: DATOS</w:t>
      </w:r>
      <w:r w:rsidR="0037523E" w:rsidRPr="00A36869">
        <w:rPr>
          <w:b/>
          <w:sz w:val="40"/>
        </w:rPr>
        <w:t xml:space="preserve"> </w:t>
      </w:r>
      <w:r w:rsidRPr="00A36869">
        <w:rPr>
          <w:b/>
          <w:sz w:val="40"/>
        </w:rPr>
        <w:t>GENERALES</w:t>
      </w:r>
      <w:r w:rsidR="0037523E" w:rsidRPr="00A3686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7_Programa para elevar el nivel de escolaridad en el municipio.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Dirección de Educación y Departamento de Educación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E4542E" w:rsidRPr="00A36869" w:rsidRDefault="0037523E" w:rsidP="0037523E">
            <w:pPr>
              <w:jc w:val="both"/>
            </w:pPr>
            <w:r w:rsidRPr="00A36869">
              <w:t>Alto índice de rezago</w:t>
            </w:r>
            <w:r w:rsidR="00E4542E" w:rsidRPr="00A36869">
              <w:t xml:space="preserve"> educativo</w:t>
            </w:r>
            <w:r w:rsidRPr="00A36869">
              <w:t xml:space="preserve"> en el Municipio de San Pedro Tlaquepaque, Jalisco.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6228" w:type="dxa"/>
            <w:gridSpan w:val="5"/>
            <w:vMerge/>
          </w:tcPr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24F68" w:rsidRPr="00A36869" w:rsidRDefault="00824F68" w:rsidP="00824F68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24F68" w:rsidRPr="00A36869" w:rsidRDefault="00422147" w:rsidP="00422147">
            <w:pPr>
              <w:jc w:val="both"/>
            </w:pPr>
            <w:r w:rsidRPr="00A36869">
              <w:t>Todo el municipio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24F68" w:rsidRPr="00A36869" w:rsidRDefault="00824F68" w:rsidP="00824F6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24F68" w:rsidRPr="00A36869" w:rsidRDefault="00824F68" w:rsidP="00824F68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824F68" w:rsidRPr="00A36869" w:rsidRDefault="00824F68" w:rsidP="00824F68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824F68" w:rsidRPr="00A36869" w:rsidRDefault="00824F68" w:rsidP="00824F68">
            <w:pPr>
              <w:jc w:val="both"/>
            </w:pPr>
            <w:r w:rsidRPr="00A36869">
              <w:t>Dra. Sara Susana Pozos Bravo.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24F68" w:rsidRPr="00A36869" w:rsidRDefault="00824F68" w:rsidP="00824F68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24F68" w:rsidRPr="00A36869" w:rsidRDefault="00824F68" w:rsidP="00824F68">
            <w:pPr>
              <w:jc w:val="both"/>
            </w:pPr>
          </w:p>
        </w:tc>
      </w:tr>
      <w:tr w:rsidR="00A36869" w:rsidRPr="00A36869" w:rsidTr="00555EA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24F68" w:rsidRPr="00A36869" w:rsidRDefault="00824F68" w:rsidP="00824F68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824F68" w:rsidRPr="00A36869" w:rsidRDefault="00824F68" w:rsidP="00824F68">
            <w:pPr>
              <w:jc w:val="both"/>
            </w:pPr>
            <w:r w:rsidRPr="00A36869">
              <w:t>Disminuir el nivel de analfabetismo, y elevar el nivel de escolaridad en el municipio de San Pedro Tlaquepaque, de habitantes mayores de 15 años que no han concluido la educación básica.</w:t>
            </w:r>
            <w:r w:rsidR="0037523E" w:rsidRPr="00A36869">
              <w:t xml:space="preserve"> </w:t>
            </w:r>
            <w:r w:rsidRPr="00A36869">
              <w:t>Población clasificada en rezago educativo (161,000 personas)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24F68" w:rsidRPr="00A36869" w:rsidRDefault="00824F68" w:rsidP="00824F6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24F68" w:rsidRPr="00A36869" w:rsidRDefault="00824F68" w:rsidP="00824F68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824F68" w:rsidRPr="00A36869" w:rsidRDefault="00824F68" w:rsidP="00824F68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824F68" w:rsidRPr="00A36869" w:rsidRDefault="00824F68" w:rsidP="00824F68">
            <w:pPr>
              <w:jc w:val="both"/>
            </w:pPr>
          </w:p>
        </w:tc>
      </w:tr>
      <w:tr w:rsidR="00A36869" w:rsidRPr="00A36869" w:rsidTr="00555EAC">
        <w:tc>
          <w:tcPr>
            <w:tcW w:w="3953" w:type="dxa"/>
            <w:gridSpan w:val="5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824F68" w:rsidRPr="00A36869" w:rsidRDefault="00824F68" w:rsidP="00824F68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824F68" w:rsidRPr="00A36869" w:rsidRDefault="00824F68" w:rsidP="00824F68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FFFFFF" w:themeFill="background1"/>
          </w:tcPr>
          <w:p w:rsidR="00824F68" w:rsidRPr="00A36869" w:rsidRDefault="0037523E" w:rsidP="00824F68">
            <w:pPr>
              <w:jc w:val="center"/>
            </w:pPr>
            <w:r w:rsidRPr="00A36869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824F68" w:rsidRPr="00A36869" w:rsidRDefault="00824F68" w:rsidP="00824F68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824F68" w:rsidRPr="00A36869" w:rsidRDefault="00824F68" w:rsidP="00824F68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24F68" w:rsidRPr="00A36869" w:rsidRDefault="00824F68" w:rsidP="00824F68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824F68" w:rsidRPr="00A36869" w:rsidRDefault="00824F68" w:rsidP="00824F68">
            <w:pPr>
              <w:jc w:val="center"/>
            </w:pPr>
            <w:r w:rsidRPr="00A36869">
              <w:t>78,890</w:t>
            </w:r>
          </w:p>
        </w:tc>
        <w:tc>
          <w:tcPr>
            <w:tcW w:w="887" w:type="dxa"/>
            <w:shd w:val="clear" w:color="auto" w:fill="FFFFFF" w:themeFill="background1"/>
          </w:tcPr>
          <w:p w:rsidR="00824F68" w:rsidRPr="00A36869" w:rsidRDefault="00824F68" w:rsidP="00824F68">
            <w:pPr>
              <w:jc w:val="center"/>
            </w:pPr>
            <w:r w:rsidRPr="00A36869">
              <w:t>82,110</w:t>
            </w:r>
          </w:p>
        </w:tc>
        <w:tc>
          <w:tcPr>
            <w:tcW w:w="1254" w:type="dxa"/>
            <w:shd w:val="clear" w:color="auto" w:fill="FFFFFF" w:themeFill="background1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24F68" w:rsidRPr="00A36869" w:rsidRDefault="00824F68" w:rsidP="00824F68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824F68" w:rsidRPr="00A36869" w:rsidRDefault="00824F68" w:rsidP="00824F68">
            <w:pPr>
              <w:jc w:val="center"/>
            </w:pPr>
          </w:p>
        </w:tc>
      </w:tr>
      <w:tr w:rsidR="00A36869" w:rsidRPr="00A36869" w:rsidTr="00555EA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24F68" w:rsidRPr="00A36869" w:rsidRDefault="00824F68" w:rsidP="00824F68">
            <w:pPr>
              <w:jc w:val="center"/>
            </w:pPr>
            <w:r w:rsidRPr="00A36869">
              <w:t>L)Monto total estimado</w:t>
            </w:r>
          </w:p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24F68" w:rsidRPr="00A36869" w:rsidRDefault="00824F68" w:rsidP="00824F68">
            <w:pPr>
              <w:jc w:val="center"/>
            </w:pPr>
            <w:r w:rsidRPr="00A36869">
              <w:t>M)Categoría para Presupuesto</w:t>
            </w:r>
          </w:p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24F68" w:rsidRPr="00A36869" w:rsidRDefault="00824F68" w:rsidP="00824F6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24F68" w:rsidRPr="00A36869" w:rsidRDefault="00824F68" w:rsidP="00824F68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824F68" w:rsidRPr="00A36869" w:rsidRDefault="00824F68" w:rsidP="00824F68">
            <w:pPr>
              <w:jc w:val="center"/>
            </w:pPr>
            <w:r w:rsidRPr="00A36869">
              <w:rPr>
                <w:sz w:val="20"/>
                <w:szCs w:val="20"/>
              </w:rPr>
              <w:t>Federal /Estatal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shd w:val="clear" w:color="auto" w:fill="FFFFFF" w:themeFill="background1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  <w:r w:rsidRPr="00A36869">
              <w:t>$2’000.000.00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824F68" w:rsidRPr="00A36869" w:rsidRDefault="00824F68" w:rsidP="0082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824F68" w:rsidRPr="00A36869" w:rsidRDefault="00824F68" w:rsidP="00824F6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824F68" w:rsidRPr="00A36869" w:rsidRDefault="00824F68" w:rsidP="00824F68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824F68" w:rsidRPr="00A36869" w:rsidRDefault="006E13EF" w:rsidP="00824F68">
            <w:pPr>
              <w:jc w:val="center"/>
            </w:pPr>
            <w:r>
              <w:t>X</w:t>
            </w:r>
          </w:p>
        </w:tc>
      </w:tr>
    </w:tbl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>
      <w:pPr>
        <w:rPr>
          <w:b/>
          <w:sz w:val="40"/>
        </w:rPr>
      </w:pPr>
    </w:p>
    <w:p w:rsidR="00436B7B" w:rsidRPr="00A36869" w:rsidRDefault="00436B7B" w:rsidP="00974095">
      <w:pPr>
        <w:rPr>
          <w:b/>
          <w:sz w:val="40"/>
        </w:rPr>
      </w:pPr>
    </w:p>
    <w:p w:rsidR="00974095" w:rsidRPr="00A36869" w:rsidRDefault="00974095" w:rsidP="00974095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  <w:r w:rsidR="00436B7B" w:rsidRPr="00A36869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8"/>
        <w:gridCol w:w="1222"/>
        <w:gridCol w:w="1862"/>
        <w:gridCol w:w="1670"/>
        <w:gridCol w:w="1381"/>
        <w:gridCol w:w="1186"/>
        <w:gridCol w:w="915"/>
        <w:gridCol w:w="1352"/>
      </w:tblGrid>
      <w:tr w:rsidR="00A36869" w:rsidRPr="00A36869" w:rsidTr="004A0D38">
        <w:trPr>
          <w:trHeight w:val="547"/>
        </w:trPr>
        <w:tc>
          <w:tcPr>
            <w:tcW w:w="1315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Principal producto esperado (base para el establecimiento de metas) </w:t>
            </w:r>
          </w:p>
        </w:tc>
        <w:tc>
          <w:tcPr>
            <w:tcW w:w="3685" w:type="pct"/>
            <w:gridSpan w:val="7"/>
            <w:shd w:val="clear" w:color="auto" w:fill="auto"/>
          </w:tcPr>
          <w:p w:rsidR="00974095" w:rsidRPr="00A36869" w:rsidRDefault="00974095" w:rsidP="00555EAC">
            <w:r w:rsidRPr="00A36869">
              <w:t>Habitantes con certificado de primaria y secundaria</w:t>
            </w:r>
            <w:r w:rsidR="00436B7B" w:rsidRPr="00A36869">
              <w:t>.</w:t>
            </w:r>
          </w:p>
        </w:tc>
      </w:tr>
      <w:tr w:rsidR="00A36869" w:rsidRPr="00A36869" w:rsidTr="004A0D38">
        <w:trPr>
          <w:trHeight w:val="547"/>
        </w:trPr>
        <w:tc>
          <w:tcPr>
            <w:tcW w:w="1315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>Actividades a realizar para la obtención del producto esperado</w:t>
            </w:r>
          </w:p>
        </w:tc>
        <w:tc>
          <w:tcPr>
            <w:tcW w:w="3685" w:type="pct"/>
            <w:gridSpan w:val="7"/>
            <w:shd w:val="clear" w:color="auto" w:fill="auto"/>
          </w:tcPr>
          <w:p w:rsidR="00974095" w:rsidRPr="00A36869" w:rsidRDefault="00345FE0" w:rsidP="00345FE0">
            <w:pPr>
              <w:rPr>
                <w:i/>
                <w:sz w:val="16"/>
              </w:rPr>
            </w:pPr>
            <w:r w:rsidRPr="00A36869">
              <w:rPr>
                <w:rFonts w:cstheme="minorHAnsi"/>
              </w:rPr>
              <w:t>Elaboración, aprobación y autorización del Proyecto Ejecutivo.</w:t>
            </w:r>
            <w:r w:rsidR="00422147" w:rsidRPr="00A36869">
              <w:rPr>
                <w:rFonts w:cstheme="minorHAnsi"/>
              </w:rPr>
              <w:t xml:space="preserve"> </w:t>
            </w:r>
            <w:r w:rsidR="00974095" w:rsidRPr="00A36869">
              <w:t>Planeación que incluye logística, difusión, cursos</w:t>
            </w:r>
            <w:r w:rsidRPr="00A36869">
              <w:t xml:space="preserve">.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4A0D38">
        <w:trPr>
          <w:trHeight w:val="547"/>
        </w:trPr>
        <w:tc>
          <w:tcPr>
            <w:tcW w:w="1315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Objetivos del programa estratégico </w:t>
            </w:r>
          </w:p>
        </w:tc>
        <w:tc>
          <w:tcPr>
            <w:tcW w:w="3685" w:type="pct"/>
            <w:gridSpan w:val="7"/>
            <w:shd w:val="clear" w:color="auto" w:fill="FABF8F" w:themeFill="accent6" w:themeFillTint="99"/>
          </w:tcPr>
          <w:p w:rsidR="00974095" w:rsidRPr="00A36869" w:rsidRDefault="00974095" w:rsidP="00555EAC"/>
        </w:tc>
      </w:tr>
      <w:tr w:rsidR="00A36869" w:rsidRPr="00A36869" w:rsidTr="004A0D38">
        <w:trPr>
          <w:trHeight w:val="547"/>
        </w:trPr>
        <w:tc>
          <w:tcPr>
            <w:tcW w:w="1315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Indicador del programa estratégico al que contribuye  </w:t>
            </w:r>
          </w:p>
        </w:tc>
        <w:tc>
          <w:tcPr>
            <w:tcW w:w="3685" w:type="pct"/>
            <w:gridSpan w:val="7"/>
            <w:shd w:val="clear" w:color="auto" w:fill="FABF8F" w:themeFill="accent6" w:themeFillTint="99"/>
          </w:tcPr>
          <w:p w:rsidR="00974095" w:rsidRPr="00A36869" w:rsidRDefault="00974095" w:rsidP="00555EAC"/>
        </w:tc>
      </w:tr>
      <w:tr w:rsidR="00A36869" w:rsidRPr="00A36869" w:rsidTr="00BB1841">
        <w:tc>
          <w:tcPr>
            <w:tcW w:w="1315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Beneficios </w:t>
            </w:r>
          </w:p>
        </w:tc>
        <w:tc>
          <w:tcPr>
            <w:tcW w:w="1188" w:type="pct"/>
            <w:gridSpan w:val="2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Corto Plazo</w:t>
            </w:r>
          </w:p>
        </w:tc>
        <w:tc>
          <w:tcPr>
            <w:tcW w:w="1175" w:type="pct"/>
            <w:gridSpan w:val="2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Mediano Plazo</w:t>
            </w:r>
          </w:p>
        </w:tc>
        <w:tc>
          <w:tcPr>
            <w:tcW w:w="1322" w:type="pct"/>
            <w:gridSpan w:val="3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BB1841">
        <w:tc>
          <w:tcPr>
            <w:tcW w:w="1315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1175" w:type="pct"/>
            <w:gridSpan w:val="2"/>
            <w:shd w:val="clear" w:color="auto" w:fill="auto"/>
          </w:tcPr>
          <w:p w:rsidR="00974095" w:rsidRPr="00A36869" w:rsidRDefault="008746E9" w:rsidP="00555EAC">
            <w:pPr>
              <w:jc w:val="center"/>
            </w:pPr>
            <w:r w:rsidRPr="00A36869">
              <w:t>X</w:t>
            </w:r>
          </w:p>
        </w:tc>
        <w:tc>
          <w:tcPr>
            <w:tcW w:w="1322" w:type="pct"/>
            <w:gridSpan w:val="3"/>
            <w:shd w:val="clear" w:color="auto" w:fill="auto"/>
          </w:tcPr>
          <w:p w:rsidR="00974095" w:rsidRPr="00A36869" w:rsidRDefault="00974095" w:rsidP="00555EAC">
            <w:pPr>
              <w:jc w:val="center"/>
            </w:pPr>
          </w:p>
        </w:tc>
      </w:tr>
      <w:tr w:rsidR="00A36869" w:rsidRPr="00A36869" w:rsidTr="004A0D38">
        <w:trPr>
          <w:trHeight w:val="554"/>
        </w:trPr>
        <w:tc>
          <w:tcPr>
            <w:tcW w:w="1315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Nombre del Indicador </w:t>
            </w:r>
          </w:p>
        </w:tc>
        <w:tc>
          <w:tcPr>
            <w:tcW w:w="471" w:type="pc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 xml:space="preserve">Dimensión a medir </w:t>
            </w:r>
          </w:p>
        </w:tc>
        <w:tc>
          <w:tcPr>
            <w:tcW w:w="717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643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Método del calculo</w:t>
            </w:r>
          </w:p>
        </w:tc>
        <w:tc>
          <w:tcPr>
            <w:tcW w:w="532" w:type="pct"/>
            <w:vMerge w:val="restar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 xml:space="preserve">Frecuencia de medida 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Meta programada</w:t>
            </w:r>
          </w:p>
        </w:tc>
      </w:tr>
      <w:tr w:rsidR="00A36869" w:rsidRPr="00A36869" w:rsidTr="004A0D38">
        <w:trPr>
          <w:trHeight w:val="405"/>
        </w:trPr>
        <w:tc>
          <w:tcPr>
            <w:tcW w:w="1315" w:type="pct"/>
            <w:vMerge/>
            <w:shd w:val="clear" w:color="auto" w:fill="D9D9D9" w:themeFill="background1" w:themeFillShade="D9"/>
          </w:tcPr>
          <w:p w:rsidR="00974095" w:rsidRPr="00A36869" w:rsidRDefault="00974095" w:rsidP="00555EAC"/>
        </w:tc>
        <w:tc>
          <w:tcPr>
            <w:tcW w:w="471" w:type="pct"/>
            <w:shd w:val="clear" w:color="auto" w:fill="A6A6A6" w:themeFill="background1" w:themeFillShade="A6"/>
          </w:tcPr>
          <w:p w:rsidR="004A0D38" w:rsidRPr="00A36869" w:rsidRDefault="004A0D38" w:rsidP="004A0D38">
            <w:pPr>
              <w:pStyle w:val="Prrafodelista"/>
              <w:ind w:left="-18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1. </w:t>
            </w:r>
            <w:r w:rsidR="00974095" w:rsidRPr="00A36869">
              <w:rPr>
                <w:b/>
                <w:sz w:val="16"/>
                <w:szCs w:val="16"/>
              </w:rPr>
              <w:t>Eficacia</w:t>
            </w:r>
          </w:p>
          <w:p w:rsidR="004A0D38" w:rsidRPr="00A36869" w:rsidRDefault="004A0D38" w:rsidP="004A0D38">
            <w:pPr>
              <w:pStyle w:val="Prrafodelista"/>
              <w:ind w:left="-18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2. </w:t>
            </w:r>
            <w:r w:rsidR="00974095" w:rsidRPr="00A36869">
              <w:rPr>
                <w:b/>
                <w:sz w:val="16"/>
                <w:szCs w:val="16"/>
              </w:rPr>
              <w:t>Eficiencia</w:t>
            </w:r>
          </w:p>
          <w:p w:rsidR="004A0D38" w:rsidRPr="00A36869" w:rsidRDefault="004A0D38" w:rsidP="004A0D38">
            <w:pPr>
              <w:pStyle w:val="Prrafodelista"/>
              <w:ind w:left="-18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3. </w:t>
            </w:r>
            <w:r w:rsidR="00974095" w:rsidRPr="00A36869">
              <w:rPr>
                <w:b/>
                <w:sz w:val="16"/>
                <w:szCs w:val="16"/>
              </w:rPr>
              <w:t>Económica</w:t>
            </w:r>
          </w:p>
          <w:p w:rsidR="00974095" w:rsidRPr="00A36869" w:rsidRDefault="00974095" w:rsidP="004A0D38">
            <w:pPr>
              <w:pStyle w:val="Prrafodelista"/>
              <w:ind w:left="-18"/>
              <w:rPr>
                <w:b/>
              </w:rPr>
            </w:pPr>
            <w:r w:rsidRPr="00A36869">
              <w:rPr>
                <w:b/>
                <w:sz w:val="16"/>
                <w:szCs w:val="16"/>
              </w:rPr>
              <w:t xml:space="preserve"> </w:t>
            </w:r>
            <w:r w:rsidR="004A0D38" w:rsidRPr="00A36869">
              <w:rPr>
                <w:b/>
                <w:sz w:val="16"/>
                <w:szCs w:val="16"/>
              </w:rPr>
              <w:t xml:space="preserve">4. </w:t>
            </w: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717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643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532" w:type="pct"/>
            <w:vMerge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</w:pPr>
          </w:p>
        </w:tc>
      </w:tr>
      <w:tr w:rsidR="00A36869" w:rsidRPr="00A36869" w:rsidTr="004A0D3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BB1841" w:rsidP="00555EAC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 xml:space="preserve">Porcentaje de personas que acreditan la primaria o secundaria </w:t>
            </w:r>
          </w:p>
          <w:p w:rsidR="00974095" w:rsidRPr="00A36869" w:rsidRDefault="00974095" w:rsidP="00555EAC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4A0D38" w:rsidP="00555EA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2</w:t>
            </w:r>
            <w:r w:rsidR="00974095" w:rsidRPr="00A3686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BB1841" w:rsidP="00BB18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 xml:space="preserve">Verificar la aportación municipal  en la disminución del rezago educativo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BB1841" w:rsidP="00BB18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eastAsia="Times New Roman" w:hAnsi="Calibri" w:cs="Calibri"/>
                <w:sz w:val="18"/>
                <w:szCs w:val="18"/>
              </w:rPr>
              <w:t>(Nº</w:t>
            </w:r>
            <w:r w:rsidR="00BF70D8" w:rsidRPr="00A36869">
              <w:rPr>
                <w:rFonts w:ascii="Calibri" w:eastAsia="Times New Roman" w:hAnsi="Calibri" w:cs="Calibri"/>
                <w:sz w:val="18"/>
                <w:szCs w:val="18"/>
              </w:rPr>
              <w:t xml:space="preserve"> de </w:t>
            </w:r>
            <w:r w:rsidRPr="00A36869">
              <w:rPr>
                <w:rFonts w:ascii="Calibri" w:eastAsia="Times New Roman" w:hAnsi="Calibri" w:cs="Calibri"/>
                <w:sz w:val="18"/>
                <w:szCs w:val="18"/>
              </w:rPr>
              <w:t>personas que acreditan su certificado de primaria o secundaria/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Nº</w:t>
            </w:r>
            <w:r w:rsidR="007346DB">
              <w:rPr>
                <w:rFonts w:ascii="Calibri" w:hAnsi="Calibri" w:cs="Calibri"/>
                <w:sz w:val="18"/>
                <w:szCs w:val="18"/>
              </w:rPr>
              <w:t xml:space="preserve"> total de personas programadas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)</w:t>
            </w:r>
            <w:r w:rsidR="007346D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36869">
              <w:rPr>
                <w:rFonts w:ascii="Calibri" w:hAnsi="Calibri" w:cs="Calibri"/>
                <w:sz w:val="18"/>
                <w:szCs w:val="18"/>
              </w:rPr>
              <w:t>*100</w:t>
            </w:r>
          </w:p>
          <w:p w:rsidR="00974095" w:rsidRPr="00A36869" w:rsidRDefault="00974095" w:rsidP="00BF70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BF70D8" w:rsidP="00555EA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974095" w:rsidP="00555EA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Trimestral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BB1841" w:rsidP="00BF70D8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B40C0E" w:rsidP="00B40C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 (</w:t>
            </w:r>
            <w:r w:rsidR="00BB1841" w:rsidRPr="00A36869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úmero </w:t>
            </w:r>
            <w:r w:rsidR="00BB1841" w:rsidRPr="00A36869">
              <w:rPr>
                <w:rFonts w:ascii="Calibri" w:hAnsi="Calibri" w:cs="Calibri"/>
                <w:sz w:val="20"/>
                <w:szCs w:val="20"/>
              </w:rPr>
              <w:t>de personas program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BB1841" w:rsidRPr="00A36869">
              <w:rPr>
                <w:rFonts w:ascii="Calibri" w:hAnsi="Calibri" w:cs="Calibri"/>
                <w:sz w:val="20"/>
                <w:szCs w:val="20"/>
              </w:rPr>
              <w:t>das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36869" w:rsidRPr="00A36869" w:rsidTr="004A0D38">
        <w:tc>
          <w:tcPr>
            <w:tcW w:w="2502" w:type="pct"/>
            <w:gridSpan w:val="3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>Clave presupuestal determinada para seguimiento del gasto</w:t>
            </w:r>
          </w:p>
        </w:tc>
        <w:tc>
          <w:tcPr>
            <w:tcW w:w="2498" w:type="pct"/>
            <w:gridSpan w:val="5"/>
            <w:shd w:val="clear" w:color="auto" w:fill="FABF8F" w:themeFill="accent6" w:themeFillTint="99"/>
          </w:tcPr>
          <w:p w:rsidR="00974095" w:rsidRPr="00A36869" w:rsidRDefault="00974095" w:rsidP="00555EAC"/>
        </w:tc>
      </w:tr>
    </w:tbl>
    <w:p w:rsidR="00974095" w:rsidRPr="00A36869" w:rsidRDefault="00974095" w:rsidP="00974095"/>
    <w:p w:rsidR="00974095" w:rsidRPr="00A36869" w:rsidRDefault="00974095" w:rsidP="00974095"/>
    <w:p w:rsidR="00073EAE" w:rsidRDefault="00073EAE" w:rsidP="00974095">
      <w:pPr>
        <w:rPr>
          <w:b/>
          <w:sz w:val="40"/>
        </w:rPr>
      </w:pPr>
    </w:p>
    <w:p w:rsidR="00073EAE" w:rsidRDefault="00073EAE" w:rsidP="00974095">
      <w:pPr>
        <w:rPr>
          <w:b/>
          <w:sz w:val="40"/>
        </w:rPr>
      </w:pPr>
    </w:p>
    <w:p w:rsidR="00974095" w:rsidRPr="00A36869" w:rsidRDefault="00974095" w:rsidP="00974095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555EA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555EA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 xml:space="preserve">Censo de identificación 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Planificación y diseño del programa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Difusión y socialización del programa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Cursos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974095" w:rsidRPr="00A36869" w:rsidRDefault="00974095" w:rsidP="00974095">
      <w:pPr>
        <w:rPr>
          <w:i/>
          <w:sz w:val="16"/>
        </w:rPr>
      </w:pPr>
    </w:p>
    <w:p w:rsidR="00974095" w:rsidRPr="00A36869" w:rsidRDefault="00974095" w:rsidP="00974095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974095" w:rsidRPr="00A36869" w:rsidRDefault="00073EAE" w:rsidP="00073EAE">
      <w:pPr>
        <w:tabs>
          <w:tab w:val="left" w:pos="4890"/>
        </w:tabs>
        <w:rPr>
          <w:i/>
          <w:sz w:val="16"/>
        </w:rPr>
      </w:pPr>
      <w:r>
        <w:rPr>
          <w:rFonts w:cstheme="minorHAnsi"/>
          <w:b/>
          <w:sz w:val="24"/>
          <w:szCs w:val="24"/>
        </w:rPr>
        <w:tab/>
      </w:r>
    </w:p>
    <w:sectPr w:rsidR="00974095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5" w:rsidRDefault="00051F15" w:rsidP="00985B24">
      <w:pPr>
        <w:spacing w:after="0" w:line="240" w:lineRule="auto"/>
      </w:pPr>
      <w:r>
        <w:separator/>
      </w:r>
    </w:p>
  </w:endnote>
  <w:end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5" w:rsidRDefault="00051F15" w:rsidP="00985B24">
      <w:pPr>
        <w:spacing w:after="0" w:line="240" w:lineRule="auto"/>
      </w:pPr>
      <w:r>
        <w:separator/>
      </w:r>
    </w:p>
  </w:footnote>
  <w:foot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15" w:rsidRDefault="00051F15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51F15" w:rsidRPr="00A53525" w:rsidTr="00555EAC">
      <w:trPr>
        <w:trHeight w:val="841"/>
      </w:trPr>
      <w:tc>
        <w:tcPr>
          <w:tcW w:w="1651" w:type="dxa"/>
        </w:tcPr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51F15" w:rsidRPr="005D6B0E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51F1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51F15" w:rsidRDefault="00051F15">
    <w:pPr>
      <w:pStyle w:val="Encabezado"/>
    </w:pPr>
  </w:p>
  <w:p w:rsidR="00051F15" w:rsidRDefault="0005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E9C"/>
    <w:rsid w:val="00061287"/>
    <w:rsid w:val="00071F00"/>
    <w:rsid w:val="00073EAE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44C96"/>
    <w:rsid w:val="001473C9"/>
    <w:rsid w:val="001649E6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669C0"/>
    <w:rsid w:val="00281C62"/>
    <w:rsid w:val="00282501"/>
    <w:rsid w:val="002A2EB2"/>
    <w:rsid w:val="002A3301"/>
    <w:rsid w:val="002B1725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6B7B"/>
    <w:rsid w:val="004417C8"/>
    <w:rsid w:val="00441807"/>
    <w:rsid w:val="004641CD"/>
    <w:rsid w:val="004671D3"/>
    <w:rsid w:val="00480003"/>
    <w:rsid w:val="004A0D38"/>
    <w:rsid w:val="004A7D74"/>
    <w:rsid w:val="004B0F96"/>
    <w:rsid w:val="004B3E62"/>
    <w:rsid w:val="004B5D9A"/>
    <w:rsid w:val="004D3A7E"/>
    <w:rsid w:val="004F3E2E"/>
    <w:rsid w:val="005014C2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07B13"/>
    <w:rsid w:val="00613CE2"/>
    <w:rsid w:val="00623566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13EF"/>
    <w:rsid w:val="006E4178"/>
    <w:rsid w:val="00711219"/>
    <w:rsid w:val="0071765F"/>
    <w:rsid w:val="00720294"/>
    <w:rsid w:val="007206CD"/>
    <w:rsid w:val="00722718"/>
    <w:rsid w:val="00724694"/>
    <w:rsid w:val="007346DB"/>
    <w:rsid w:val="00737982"/>
    <w:rsid w:val="007424B0"/>
    <w:rsid w:val="00757189"/>
    <w:rsid w:val="0076351F"/>
    <w:rsid w:val="00766D94"/>
    <w:rsid w:val="0079540C"/>
    <w:rsid w:val="0079541B"/>
    <w:rsid w:val="007A2B80"/>
    <w:rsid w:val="007A47F2"/>
    <w:rsid w:val="007B0A0F"/>
    <w:rsid w:val="00811076"/>
    <w:rsid w:val="00824F68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32243"/>
    <w:rsid w:val="0093655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B23B5"/>
    <w:rsid w:val="009B3481"/>
    <w:rsid w:val="009C1644"/>
    <w:rsid w:val="009E3DFA"/>
    <w:rsid w:val="009F67D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40C0E"/>
    <w:rsid w:val="00B52B0C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318E"/>
    <w:rsid w:val="00CB05E1"/>
    <w:rsid w:val="00CB4DE6"/>
    <w:rsid w:val="00CE0AC3"/>
    <w:rsid w:val="00CF4910"/>
    <w:rsid w:val="00D0034F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F068C"/>
    <w:rsid w:val="00DF6A3D"/>
    <w:rsid w:val="00DF73E4"/>
    <w:rsid w:val="00DF7C5A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34D67"/>
    <w:rsid w:val="00F40A44"/>
    <w:rsid w:val="00F61F30"/>
    <w:rsid w:val="00F62B11"/>
    <w:rsid w:val="00F73C46"/>
    <w:rsid w:val="00F93869"/>
    <w:rsid w:val="00FA2382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69B831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0A0F-0D87-4B90-A549-B9465E20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6</cp:revision>
  <dcterms:created xsi:type="dcterms:W3CDTF">2019-01-28T21:10:00Z</dcterms:created>
  <dcterms:modified xsi:type="dcterms:W3CDTF">2019-01-30T19:48:00Z</dcterms:modified>
</cp:coreProperties>
</file>