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C47F66" w:rsidRDefault="00985B24" w:rsidP="00985B24">
      <w:pPr>
        <w:rPr>
          <w:rFonts w:cstheme="minorHAnsi"/>
          <w:b/>
        </w:rPr>
      </w:pPr>
    </w:p>
    <w:p w:rsidR="003D0BD4" w:rsidRPr="00C47F66" w:rsidRDefault="003D0BD4" w:rsidP="00985B24">
      <w:pPr>
        <w:rPr>
          <w:rFonts w:cstheme="minorHAnsi"/>
          <w:b/>
          <w:sz w:val="8"/>
          <w:szCs w:val="8"/>
        </w:rPr>
      </w:pPr>
    </w:p>
    <w:p w:rsidR="006560DD" w:rsidRPr="00A07FD8" w:rsidRDefault="006560DD" w:rsidP="00985B24">
      <w:pPr>
        <w:rPr>
          <w:rFonts w:cstheme="minorHAnsi"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1</w:t>
      </w:r>
      <w:r w:rsidR="000D7A4E" w:rsidRPr="00A07FD8">
        <w:rPr>
          <w:rFonts w:cstheme="minorHAnsi"/>
          <w:b/>
          <w:sz w:val="40"/>
          <w:szCs w:val="40"/>
        </w:rPr>
        <w:t>: DATOS</w:t>
      </w:r>
      <w:r w:rsidR="006F4734" w:rsidRPr="00A07FD8">
        <w:rPr>
          <w:rFonts w:cstheme="minorHAnsi"/>
          <w:b/>
          <w:sz w:val="40"/>
          <w:szCs w:val="40"/>
        </w:rPr>
        <w:t xml:space="preserve"> </w:t>
      </w:r>
      <w:r w:rsidRPr="00A07FD8">
        <w:rPr>
          <w:rFonts w:cstheme="minorHAnsi"/>
          <w:b/>
          <w:sz w:val="40"/>
          <w:szCs w:val="40"/>
        </w:rPr>
        <w:t>GENERALES</w:t>
      </w:r>
      <w:r w:rsidR="009709C2" w:rsidRPr="00A07FD8">
        <w:rPr>
          <w:rFonts w:cstheme="minorHAnsi"/>
          <w:b/>
          <w:sz w:val="40"/>
          <w:szCs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2E6D17" w:rsidRPr="00A07FD8" w:rsidRDefault="009F21E1" w:rsidP="003D0BD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1_Programa de planeación del Centro Histórico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2E6D17" w:rsidRPr="00A07FD8" w:rsidRDefault="002E6D17" w:rsidP="002E6D17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Dirección de Planeación del Centro Histórico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E6D17" w:rsidRPr="00A07FD8" w:rsidRDefault="002E6D17" w:rsidP="003D0BD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Imagen urbana visualmente deteriorada, enfatizando los postes de energía eléctrica.</w:t>
            </w:r>
            <w:r w:rsidR="003D0BD4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Menor espacio de desplazamiento en banquetas, tanto para los locales como para los visitantes.</w:t>
            </w:r>
            <w:r w:rsidR="003D0BD4"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lang w:val="es-ES"/>
              </w:rPr>
              <w:t>Invasión de espacios públicos comunes.</w:t>
            </w:r>
            <w:r w:rsidR="003D0BD4" w:rsidRPr="00A07FD8">
              <w:rPr>
                <w:rFonts w:cstheme="minorHAnsi"/>
                <w:lang w:val="es-ES"/>
              </w:rPr>
              <w:t xml:space="preserve"> Deterioro de fachadas. </w:t>
            </w:r>
            <w:r w:rsidRPr="00A07FD8">
              <w:rPr>
                <w:rFonts w:cstheme="minorHAnsi"/>
                <w:lang w:val="es-ES"/>
              </w:rPr>
              <w:t>Paso de transporte públ</w:t>
            </w:r>
            <w:r w:rsidR="003D0BD4" w:rsidRPr="00A07FD8">
              <w:rPr>
                <w:rFonts w:cstheme="minorHAnsi"/>
                <w:lang w:val="es-ES"/>
              </w:rPr>
              <w:t xml:space="preserve">ico y vehículos de carga pesada. </w:t>
            </w:r>
            <w:r w:rsidRPr="00A07FD8">
              <w:rPr>
                <w:rFonts w:cstheme="minorHAnsi"/>
                <w:lang w:val="es-ES"/>
              </w:rPr>
              <w:t>Anuncios desproporcionados y mal ubicados</w:t>
            </w:r>
            <w:r w:rsidR="003D0BD4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Mal uso de las fincas con valor patrimonial</w:t>
            </w:r>
            <w:r w:rsidR="003D0BD4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Señalética y</w:t>
            </w:r>
            <w:r w:rsidR="003D0BD4" w:rsidRPr="00A07FD8">
              <w:rPr>
                <w:rFonts w:cstheme="minorHAnsi"/>
                <w:lang w:val="es-ES"/>
              </w:rPr>
              <w:t xml:space="preserve"> nomenclatura de calles. </w:t>
            </w:r>
            <w:r w:rsidRPr="00A07FD8">
              <w:rPr>
                <w:rFonts w:cstheme="minorHAnsi"/>
                <w:lang w:val="es-ES"/>
              </w:rPr>
              <w:t>Movilidad, poca preferencia al peatón</w:t>
            </w:r>
            <w:r w:rsidR="003D0BD4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6228" w:type="dxa"/>
            <w:gridSpan w:val="5"/>
            <w:vMerge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6236E" w:rsidRPr="00A07FD8" w:rsidRDefault="00A53B42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6236E" w:rsidRPr="00A07FD8" w:rsidRDefault="0056236E" w:rsidP="0056236E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6236E" w:rsidRPr="00A07FD8" w:rsidRDefault="0056236E" w:rsidP="0056236E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2E6D17" w:rsidRPr="00A07FD8" w:rsidRDefault="002E6D17" w:rsidP="002E6D17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Lic. Jesús Enrique Gutiérrez </w:t>
            </w:r>
            <w:proofErr w:type="spellStart"/>
            <w:r w:rsidRPr="00A07FD8">
              <w:rPr>
                <w:rFonts w:cstheme="minorHAnsi"/>
                <w:lang w:val="es-ES"/>
              </w:rPr>
              <w:t>Huante</w:t>
            </w:r>
            <w:proofErr w:type="spellEnd"/>
            <w:r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2E6D17" w:rsidRPr="00A07FD8" w:rsidRDefault="0077378F" w:rsidP="0077378F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Generar estrategias integrales de acción y supervisión para el ordenamiento y planeación adecuada del Centro Histórico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both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6236E" w:rsidRPr="00A07FD8" w:rsidRDefault="0056236E" w:rsidP="0056236E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6236E" w:rsidRPr="00A07FD8" w:rsidRDefault="00A53B42" w:rsidP="0056236E">
            <w:pPr>
              <w:jc w:val="both"/>
            </w:pPr>
            <w:r w:rsidRPr="00A07FD8">
              <w:t>6</w:t>
            </w:r>
            <w:r w:rsidR="0056236E" w:rsidRPr="00A07FD8">
              <w:t xml:space="preserve"> Dependencia</w:t>
            </w:r>
            <w:r w:rsidRPr="00A07FD8">
              <w:t>s</w:t>
            </w:r>
            <w:r w:rsidR="0056236E" w:rsidRPr="00A07FD8">
              <w:t xml:space="preserve"> de la Administración Pública Municipal.</w:t>
            </w:r>
          </w:p>
        </w:tc>
      </w:tr>
      <w:tr w:rsidR="00C47F66" w:rsidRPr="00A07FD8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K)Fecha de Cierre</w:t>
            </w:r>
          </w:p>
        </w:tc>
      </w:tr>
      <w:tr w:rsidR="00C47F66" w:rsidRPr="00A07FD8" w:rsidTr="000168B7">
        <w:tc>
          <w:tcPr>
            <w:tcW w:w="105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F4734" w:rsidRPr="00A07FD8" w:rsidRDefault="006F4734" w:rsidP="006F47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F4734" w:rsidRPr="00A07FD8" w:rsidRDefault="006F4734" w:rsidP="006F4734">
            <w:pPr>
              <w:jc w:val="center"/>
            </w:pPr>
            <w:r w:rsidRPr="00A07FD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F4734" w:rsidRPr="00A07FD8" w:rsidRDefault="006F4734" w:rsidP="006F4734">
            <w:pPr>
              <w:jc w:val="center"/>
            </w:pPr>
            <w:r w:rsidRPr="00A07FD8">
              <w:t>30 Septiembre 2019</w:t>
            </w:r>
          </w:p>
        </w:tc>
      </w:tr>
      <w:tr w:rsidR="00C47F66" w:rsidRPr="00A07FD8" w:rsidTr="000168B7">
        <w:tc>
          <w:tcPr>
            <w:tcW w:w="105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E6D17" w:rsidRPr="00A07FD8" w:rsidRDefault="008945CA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L)Monto total estimado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M)Categoría para Presupuesto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(c) Fondos del Gobierno  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o Estatal</w:t>
            </w:r>
          </w:p>
        </w:tc>
      </w:tr>
      <w:tr w:rsidR="00C47F66" w:rsidRPr="00A07FD8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Participación </w:t>
            </w:r>
          </w:p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Federal /Estatal</w:t>
            </w:r>
          </w:p>
        </w:tc>
      </w:tr>
      <w:tr w:rsidR="00C47F66" w:rsidRPr="00A07FD8" w:rsidTr="000168B7">
        <w:tc>
          <w:tcPr>
            <w:tcW w:w="2970" w:type="dxa"/>
            <w:gridSpan w:val="3"/>
            <w:shd w:val="clear" w:color="auto" w:fill="FFFFFF" w:themeFill="background1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</w:tbl>
    <w:p w:rsidR="000168B7" w:rsidRPr="00A07FD8" w:rsidRDefault="000168B7">
      <w:pPr>
        <w:rPr>
          <w:rFonts w:cstheme="minorHAnsi"/>
        </w:rPr>
      </w:pPr>
    </w:p>
    <w:p w:rsidR="000168B7" w:rsidRPr="00A07FD8" w:rsidRDefault="000168B7">
      <w:pPr>
        <w:rPr>
          <w:rFonts w:cstheme="minorHAnsi"/>
        </w:rPr>
      </w:pPr>
    </w:p>
    <w:p w:rsidR="00CE0AC3" w:rsidRPr="00A07FD8" w:rsidRDefault="00CE0AC3" w:rsidP="00985B24">
      <w:pPr>
        <w:rPr>
          <w:rFonts w:cstheme="minorHAnsi"/>
          <w:b/>
        </w:rPr>
      </w:pPr>
    </w:p>
    <w:p w:rsidR="00981E99" w:rsidRPr="00A07FD8" w:rsidRDefault="00981E99" w:rsidP="00985B24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1287"/>
        <w:gridCol w:w="1739"/>
        <w:gridCol w:w="63"/>
        <w:gridCol w:w="2083"/>
        <w:gridCol w:w="1096"/>
        <w:gridCol w:w="1098"/>
        <w:gridCol w:w="1222"/>
        <w:gridCol w:w="1235"/>
      </w:tblGrid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715" w:type="pct"/>
            <w:gridSpan w:val="8"/>
            <w:shd w:val="clear" w:color="auto" w:fill="auto"/>
          </w:tcPr>
          <w:p w:rsidR="002E6D17" w:rsidRPr="00A07FD8" w:rsidRDefault="002E6D17" w:rsidP="007C26A7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Agilizar la movilidad peatonal haciéndola más amigable y atractiva para visitantes y locales.</w:t>
            </w:r>
            <w:r w:rsidR="00FD1811" w:rsidRPr="00A07FD8">
              <w:rPr>
                <w:rFonts w:cstheme="minorHAnsi"/>
                <w:lang w:val="es-ES"/>
              </w:rPr>
              <w:t xml:space="preserve"> L</w:t>
            </w:r>
            <w:r w:rsidRPr="00A07FD8">
              <w:rPr>
                <w:rFonts w:cstheme="minorHAnsi"/>
                <w:lang w:val="es-ES"/>
              </w:rPr>
              <w:t>ograr una armonía con el entorno del centro histórico y detonar la economía local de diferentes negocios/locales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Brindar más comodidad y mejores accesos para el disfrute del centro histórico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Pr="00A07FD8">
              <w:rPr>
                <w:rFonts w:cstheme="minorHAnsi"/>
                <w:lang w:val="es-ES"/>
              </w:rPr>
              <w:t>Mejorar la imagen urbana</w:t>
            </w:r>
            <w:r w:rsidR="00FD1811" w:rsidRPr="00A07FD8">
              <w:rPr>
                <w:rFonts w:cstheme="minorHAnsi"/>
                <w:lang w:val="es-ES"/>
              </w:rPr>
              <w:t xml:space="preserve"> y mantener la denominación de P</w:t>
            </w:r>
            <w:r w:rsidRPr="00A07FD8">
              <w:rPr>
                <w:rFonts w:cstheme="minorHAnsi"/>
                <w:lang w:val="es-ES"/>
              </w:rPr>
              <w:t xml:space="preserve">ueblo </w:t>
            </w:r>
            <w:r w:rsidR="00FD1811" w:rsidRPr="00A07FD8">
              <w:rPr>
                <w:rFonts w:cstheme="minorHAnsi"/>
                <w:lang w:val="es-ES"/>
              </w:rPr>
              <w:t>M</w:t>
            </w:r>
            <w:r w:rsidRPr="00A07FD8">
              <w:rPr>
                <w:rFonts w:cstheme="minorHAnsi"/>
                <w:lang w:val="es-ES"/>
              </w:rPr>
              <w:t>ágico</w:t>
            </w:r>
            <w:r w:rsidR="00FD1811" w:rsidRPr="00A07FD8">
              <w:rPr>
                <w:rFonts w:cstheme="minorHAnsi"/>
                <w:lang w:val="es-ES"/>
              </w:rPr>
              <w:t>.</w:t>
            </w: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715" w:type="pct"/>
            <w:gridSpan w:val="8"/>
            <w:shd w:val="clear" w:color="auto" w:fill="auto"/>
          </w:tcPr>
          <w:p w:rsidR="002E6D17" w:rsidRPr="00A07FD8" w:rsidRDefault="0012167C" w:rsidP="0012167C">
            <w:pPr>
              <w:jc w:val="both"/>
              <w:rPr>
                <w:i/>
                <w:sz w:val="16"/>
              </w:rPr>
            </w:pPr>
            <w:r w:rsidRPr="00A07FD8">
              <w:rPr>
                <w:rFonts w:cstheme="minorHAnsi"/>
              </w:rPr>
              <w:t>Elaboración, aprobación y autorización del Proyecto Ejecutivo.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="002E6D17" w:rsidRPr="00A07FD8">
              <w:rPr>
                <w:rFonts w:cstheme="minorHAnsi"/>
                <w:lang w:val="es-ES"/>
              </w:rPr>
              <w:t>Coordinación con las distintas dependencias implicadas en la presentación de proyecto como lo son (imagen pública, obras públicas, servicios especiales</w:t>
            </w:r>
            <w:r w:rsidR="00FD1811" w:rsidRPr="00A07FD8">
              <w:rPr>
                <w:rFonts w:cstheme="minorHAnsi"/>
                <w:lang w:val="es-ES"/>
              </w:rPr>
              <w:t xml:space="preserve">, mercados, movilidad, turismo). </w:t>
            </w:r>
            <w:r w:rsidR="002E6D17" w:rsidRPr="00A07FD8">
              <w:rPr>
                <w:rFonts w:cstheme="minorHAnsi"/>
                <w:lang w:val="es-ES"/>
              </w:rPr>
              <w:t>Campañas de concientización de cuidado y preservación del centro histórico y fincas con valor patrimonial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="002E6D17" w:rsidRPr="00A07FD8">
              <w:rPr>
                <w:rFonts w:cstheme="minorHAnsi"/>
                <w:lang w:val="es-ES"/>
              </w:rPr>
              <w:t>Inspecciones</w:t>
            </w:r>
            <w:r w:rsidR="00FD1811" w:rsidRPr="00A07FD8">
              <w:rPr>
                <w:rFonts w:cstheme="minorHAnsi"/>
                <w:lang w:val="es-ES"/>
              </w:rPr>
              <w:t xml:space="preserve">. </w:t>
            </w:r>
            <w:r w:rsidR="002E6D17" w:rsidRPr="00A07FD8">
              <w:rPr>
                <w:rFonts w:cstheme="minorHAnsi"/>
                <w:lang w:val="es-ES"/>
              </w:rPr>
              <w:t>Calendario de actividades,</w:t>
            </w:r>
            <w:r w:rsidR="00FB5BBC" w:rsidRPr="00A07FD8">
              <w:rPr>
                <w:rFonts w:cstheme="minorHAnsi"/>
                <w:lang w:val="es-ES"/>
              </w:rPr>
              <w:t xml:space="preserve"> </w:t>
            </w:r>
            <w:r w:rsidR="002E6D17" w:rsidRPr="00A07FD8">
              <w:rPr>
                <w:rFonts w:cstheme="minorHAnsi"/>
                <w:lang w:val="es-ES"/>
              </w:rPr>
              <w:t>artísticas, culturales y sociales.</w:t>
            </w:r>
            <w:r w:rsidRPr="00A07FD8">
              <w:rPr>
                <w:rFonts w:cstheme="minorHAnsi"/>
                <w:lang w:val="es-ES"/>
              </w:rPr>
              <w:t xml:space="preserve"> </w:t>
            </w:r>
            <w:r w:rsidRPr="00A07FD8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715" w:type="pct"/>
            <w:gridSpan w:val="8"/>
            <w:shd w:val="clear" w:color="auto" w:fill="FABF8F" w:themeFill="accent6" w:themeFillTint="9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</w:tr>
      <w:tr w:rsidR="00C47F66" w:rsidRPr="00A07FD8" w:rsidTr="007713FC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715" w:type="pct"/>
            <w:gridSpan w:val="8"/>
            <w:shd w:val="clear" w:color="auto" w:fill="FABF8F" w:themeFill="accent6" w:themeFillTint="9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Beneficios </w:t>
            </w:r>
          </w:p>
        </w:tc>
        <w:tc>
          <w:tcPr>
            <w:tcW w:w="1169" w:type="pct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Corto Plazo</w:t>
            </w:r>
          </w:p>
        </w:tc>
        <w:tc>
          <w:tcPr>
            <w:tcW w:w="1202" w:type="pct"/>
            <w:gridSpan w:val="2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Mediano Plazo</w:t>
            </w:r>
          </w:p>
        </w:tc>
        <w:tc>
          <w:tcPr>
            <w:tcW w:w="1345" w:type="pct"/>
            <w:gridSpan w:val="3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Largo Plazo</w:t>
            </w:r>
          </w:p>
        </w:tc>
      </w:tr>
      <w:tr w:rsidR="00C47F66" w:rsidRPr="00A07FD8" w:rsidTr="0085694D">
        <w:tc>
          <w:tcPr>
            <w:tcW w:w="128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169" w:type="pct"/>
            <w:gridSpan w:val="3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X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1345" w:type="pct"/>
            <w:gridSpan w:val="3"/>
            <w:shd w:val="clear" w:color="auto" w:fill="auto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85694D">
        <w:trPr>
          <w:trHeight w:val="579"/>
        </w:trPr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Nombre del Indicador </w:t>
            </w:r>
          </w:p>
        </w:tc>
        <w:tc>
          <w:tcPr>
            <w:tcW w:w="487" w:type="pc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 xml:space="preserve">Dimensión a medir </w:t>
            </w:r>
          </w:p>
        </w:tc>
        <w:tc>
          <w:tcPr>
            <w:tcW w:w="658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812" w:type="pct"/>
            <w:gridSpan w:val="2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Método del calculo</w:t>
            </w:r>
          </w:p>
        </w:tc>
        <w:tc>
          <w:tcPr>
            <w:tcW w:w="414" w:type="pct"/>
            <w:vMerge w:val="restar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 xml:space="preserve">Frecuencia de medida 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7FD8">
              <w:rPr>
                <w:rFonts w:cstheme="minorHAnsi"/>
                <w:sz w:val="20"/>
                <w:szCs w:val="20"/>
              </w:rPr>
              <w:t>Línea base</w:t>
            </w:r>
          </w:p>
        </w:tc>
        <w:tc>
          <w:tcPr>
            <w:tcW w:w="467" w:type="pct"/>
            <w:vMerge w:val="restart"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Meta programada</w:t>
            </w:r>
          </w:p>
        </w:tc>
      </w:tr>
      <w:tr w:rsidR="00C47F66" w:rsidRPr="00A07FD8" w:rsidTr="0085694D">
        <w:trPr>
          <w:trHeight w:val="405"/>
        </w:trPr>
        <w:tc>
          <w:tcPr>
            <w:tcW w:w="128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rPr>
                <w:rFonts w:cstheme="minorHAnsi"/>
              </w:rPr>
            </w:pPr>
          </w:p>
        </w:tc>
        <w:tc>
          <w:tcPr>
            <w:tcW w:w="487" w:type="pct"/>
            <w:shd w:val="clear" w:color="auto" w:fill="A6A6A6" w:themeFill="background1" w:themeFillShade="A6"/>
          </w:tcPr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Eficacia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Eficiencia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 xml:space="preserve">Económica </w:t>
            </w:r>
          </w:p>
          <w:p w:rsidR="002E6D17" w:rsidRPr="00A07FD8" w:rsidRDefault="002E6D17" w:rsidP="00FB5BBC">
            <w:pPr>
              <w:pStyle w:val="Prrafodelista"/>
              <w:numPr>
                <w:ilvl w:val="0"/>
                <w:numId w:val="1"/>
              </w:numPr>
              <w:ind w:left="160" w:hanging="241"/>
              <w:rPr>
                <w:rFonts w:cstheme="minorHAnsi"/>
                <w:b/>
                <w:sz w:val="20"/>
                <w:szCs w:val="20"/>
              </w:rPr>
            </w:pPr>
            <w:r w:rsidRPr="00A07FD8">
              <w:rPr>
                <w:rFonts w:cstheme="minorHAnsi"/>
                <w:b/>
                <w:sz w:val="20"/>
                <w:szCs w:val="20"/>
              </w:rPr>
              <w:t>Calidad</w:t>
            </w:r>
          </w:p>
        </w:tc>
        <w:tc>
          <w:tcPr>
            <w:tcW w:w="658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812" w:type="pct"/>
            <w:gridSpan w:val="2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14" w:type="pct"/>
            <w:vMerge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pct"/>
            <w:vMerge/>
            <w:shd w:val="clear" w:color="auto" w:fill="A6A6A6" w:themeFill="background1" w:themeFillShade="A6"/>
          </w:tcPr>
          <w:p w:rsidR="002E6D17" w:rsidRPr="00A07FD8" w:rsidRDefault="002E6D17" w:rsidP="002E6D17">
            <w:pPr>
              <w:jc w:val="center"/>
              <w:rPr>
                <w:rFonts w:cstheme="minorHAnsi"/>
              </w:rPr>
            </w:pP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220017" w:rsidP="00E046F4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E046F4" w:rsidRPr="00A07FD8">
              <w:rPr>
                <w:rFonts w:cstheme="minorHAnsi"/>
                <w:lang w:val="es-ES"/>
              </w:rPr>
              <w:t>Inspección del Centro Histórico.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inspecciones en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E046F4" w:rsidRPr="00A07FD8">
              <w:rPr>
                <w:rFonts w:cstheme="minorHAnsi"/>
                <w:sz w:val="18"/>
                <w:szCs w:val="18"/>
              </w:rPr>
              <w:t>Número de inspecciones en Centro Histórico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E046F4" w:rsidRPr="00A07FD8">
              <w:rPr>
                <w:rFonts w:cstheme="minorHAnsi"/>
                <w:sz w:val="18"/>
                <w:szCs w:val="18"/>
              </w:rPr>
              <w:t>Número de inspecciones en Centro Histórico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programadas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E046F4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E046F4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365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F4" w:rsidRPr="00A07FD8" w:rsidRDefault="0073463B" w:rsidP="00E046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730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220017" w:rsidP="00705CDF">
            <w:pPr>
              <w:jc w:val="both"/>
              <w:rPr>
                <w:rFonts w:cstheme="minorHAnsi"/>
                <w:lang w:val="es-ES"/>
              </w:rPr>
            </w:pPr>
            <w:proofErr w:type="gramStart"/>
            <w:r w:rsidRPr="00A07FD8">
              <w:rPr>
                <w:rFonts w:cstheme="minorHAnsi"/>
                <w:lang w:val="es-ES"/>
              </w:rPr>
              <w:t>porcentaje</w:t>
            </w:r>
            <w:proofErr w:type="gramEnd"/>
            <w:r w:rsidRPr="00A07FD8">
              <w:rPr>
                <w:rFonts w:cstheme="minorHAnsi"/>
                <w:lang w:val="es-ES"/>
              </w:rPr>
              <w:t xml:space="preserve"> de </w:t>
            </w:r>
            <w:r w:rsidR="00705CDF" w:rsidRPr="00A07FD8">
              <w:rPr>
                <w:rFonts w:cstheme="minorHAnsi"/>
                <w:lang w:val="es-ES"/>
              </w:rPr>
              <w:t xml:space="preserve">Regulación de </w:t>
            </w:r>
            <w:r w:rsidR="00705CDF" w:rsidRPr="00A07FD8">
              <w:rPr>
                <w:rFonts w:cstheme="minorHAnsi"/>
                <w:lang w:val="es-ES"/>
              </w:rPr>
              <w:lastRenderedPageBreak/>
              <w:t>exposiciones, eventos culturales, eventos artísticos y eventos sociales en espacio público.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para la Regulación de Eventos en 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705CDF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Pr="00A07FD8">
              <w:rPr>
                <w:rFonts w:cstheme="minorHAnsi"/>
                <w:sz w:val="18"/>
                <w:szCs w:val="18"/>
              </w:rPr>
              <w:t>de eventos realizados</w:t>
            </w:r>
            <w:r w:rsidR="00705CDF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eventos programados)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</w:t>
            </w:r>
            <w:r w:rsidR="00705CDF" w:rsidRPr="00A07FD8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Acuerdos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para la Regulación de Eventos en el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DF" w:rsidRPr="00A07FD8" w:rsidRDefault="00705CDF" w:rsidP="00705C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 xml:space="preserve">1Acuerdo de Cabildo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publicado en la Gaceta Municipal  para la Regulación de Eventos en el Centro Histórico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220017" w:rsidP="00AF08AB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de </w:t>
            </w:r>
            <w:r w:rsidR="00AF08AB" w:rsidRPr="00A07FD8">
              <w:rPr>
                <w:rFonts w:cstheme="minorHAnsi"/>
                <w:lang w:val="es-ES"/>
              </w:rPr>
              <w:t>Recuperación de espacios públicos.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Espacios Públicos municipales con cambio de uso de suelo.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Número de Espacios Públicos </w:t>
            </w:r>
            <w:r w:rsidRPr="00A07FD8">
              <w:rPr>
                <w:rFonts w:cstheme="minorHAnsi"/>
                <w:sz w:val="18"/>
                <w:szCs w:val="18"/>
              </w:rPr>
              <w:t>recuperados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Número de Espacios </w:t>
            </w:r>
            <w:r w:rsidRPr="00A07FD8">
              <w:rPr>
                <w:rFonts w:cstheme="minorHAnsi"/>
                <w:sz w:val="18"/>
                <w:szCs w:val="18"/>
              </w:rPr>
              <w:t xml:space="preserve">recuperados </w:t>
            </w:r>
            <w:r w:rsidR="00AF08AB" w:rsidRPr="00A07FD8">
              <w:rPr>
                <w:rFonts w:cstheme="minorHAnsi"/>
                <w:sz w:val="18"/>
                <w:szCs w:val="18"/>
              </w:rPr>
              <w:t xml:space="preserve">Públicos </w:t>
            </w:r>
            <w:r w:rsidRPr="00A07FD8">
              <w:rPr>
                <w:rFonts w:cstheme="minorHAnsi"/>
                <w:sz w:val="18"/>
                <w:szCs w:val="18"/>
              </w:rPr>
              <w:t xml:space="preserve">programados) </w:t>
            </w:r>
            <w:r w:rsidR="00AF08AB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Espacios Públicos municipales recuperados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AB" w:rsidRPr="00A07FD8" w:rsidRDefault="00AF08AB" w:rsidP="00AF0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Espacios Públicos municipales recuperados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424DAD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424DAD" w:rsidRPr="00A07FD8">
              <w:rPr>
                <w:rFonts w:cstheme="minorHAnsi"/>
                <w:lang w:val="es-ES"/>
              </w:rPr>
              <w:t>Inspección, asesoría y regulación de imagen urbana.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proyectos de imagen urbana.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2200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424DAD" w:rsidRPr="00A07FD8">
              <w:rPr>
                <w:rFonts w:cstheme="minorHAnsi"/>
                <w:sz w:val="18"/>
                <w:szCs w:val="18"/>
              </w:rPr>
              <w:t>Número de proyectos de imagen urbana en Centro Histórico</w:t>
            </w:r>
            <w:r w:rsidR="00424DAD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424DAD" w:rsidRPr="00A07FD8">
              <w:rPr>
                <w:rFonts w:cstheme="minorHAnsi"/>
                <w:sz w:val="18"/>
                <w:szCs w:val="18"/>
              </w:rPr>
              <w:t xml:space="preserve">Número de proyectos de imagen urbana en Centro </w:t>
            </w:r>
            <w:r w:rsidRPr="00A07FD8">
              <w:rPr>
                <w:rFonts w:cstheme="minorHAnsi"/>
                <w:sz w:val="18"/>
                <w:szCs w:val="18"/>
              </w:rPr>
              <w:t>programados)</w:t>
            </w:r>
            <w:r w:rsidR="00424DAD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220017" w:rsidP="00424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 xml:space="preserve">porcentaje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proyectos de imagen urbana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AD" w:rsidRPr="00A07FD8" w:rsidRDefault="00424DAD" w:rsidP="00424D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proyecto de imagen urbana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8D46BE" w:rsidP="001C61B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1C61B0" w:rsidRPr="00A07FD8">
              <w:rPr>
                <w:rFonts w:cstheme="minorHAnsi"/>
                <w:lang w:val="es-ES"/>
              </w:rPr>
              <w:t>Alternativas de vialidad para desahogo de tránsito.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propuestas de movilidad en la Zona del Centro Histórico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220017" w:rsidP="001C61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1C61B0" w:rsidRPr="00A07FD8">
              <w:rPr>
                <w:rFonts w:cstheme="minorHAnsi"/>
                <w:sz w:val="18"/>
                <w:szCs w:val="18"/>
              </w:rPr>
              <w:t>Número de propuestas de vialidad aprobadas por movilidad en Centro Histórico</w:t>
            </w:r>
            <w:r w:rsidR="001C61B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1C61B0" w:rsidRPr="00A07FD8">
              <w:rPr>
                <w:rFonts w:cstheme="minorHAnsi"/>
                <w:sz w:val="18"/>
                <w:szCs w:val="18"/>
              </w:rPr>
              <w:t>Número de pr</w:t>
            </w:r>
            <w:r w:rsidRPr="00A07FD8">
              <w:rPr>
                <w:rFonts w:cstheme="minorHAnsi"/>
                <w:sz w:val="18"/>
                <w:szCs w:val="18"/>
              </w:rPr>
              <w:t>opuestas de vialidad programadas)</w:t>
            </w:r>
            <w:r w:rsidR="001C61B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220017" w:rsidP="001C6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propuestas de vialidad aprobadas por movilidad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B0" w:rsidRPr="00A07FD8" w:rsidRDefault="001C61B0" w:rsidP="001C61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propuesta de vialidad aprobada por movilidad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8D46BE" w:rsidP="00C058A9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C058A9" w:rsidRPr="00A07FD8">
              <w:rPr>
                <w:rFonts w:cstheme="minorHAnsi"/>
                <w:lang w:val="es-ES"/>
              </w:rPr>
              <w:t>Restricción de camiones de carga pesada en centro histórico.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propuestas autorizadas por movilidad para la prohibición de tránsito de vehículos de carga pesada en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8D46BE" w:rsidP="008D46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C058A9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t>restricción de camiones de carga pesada</w:t>
            </w:r>
            <w:r w:rsidR="00C058A9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C058A9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Pr="00A07FD8">
              <w:rPr>
                <w:rFonts w:cstheme="minorHAnsi"/>
                <w:sz w:val="18"/>
                <w:szCs w:val="18"/>
              </w:rPr>
              <w:t>restricción de camiones de carga pesada programadas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C058A9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220017" w:rsidP="00C058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propuestas autorizadas por movilidad para la prohibición de tránsito de vehículos de carga pesada en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8A9" w:rsidRPr="00A07FD8" w:rsidRDefault="00C058A9" w:rsidP="00C058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 propuesta autorizada por movilidad para la prohibición de tránsito de vehículos de carga pesada en Centro Histórico.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8D46BE" w:rsidP="00D1564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D1564C" w:rsidRPr="00A07FD8">
              <w:rPr>
                <w:rFonts w:cstheme="minorHAnsi"/>
                <w:lang w:val="es-ES"/>
              </w:rPr>
              <w:t xml:space="preserve">Retiro de anuncios </w:t>
            </w:r>
            <w:r w:rsidR="00D1564C" w:rsidRPr="00A07FD8">
              <w:rPr>
                <w:rFonts w:cstheme="minorHAnsi"/>
                <w:lang w:val="es-ES"/>
              </w:rPr>
              <w:lastRenderedPageBreak/>
              <w:t>desproporcionados, no permitidos por el Artículo 34 de la Gaceta Municipal.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anuncios no permitidos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retirados de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8D46BE" w:rsidP="008D46B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Número de anuncios no permitidos retirados de la </w:t>
            </w:r>
            <w:r w:rsidR="00D1564C" w:rsidRPr="00A07FD8">
              <w:rPr>
                <w:rFonts w:cstheme="minorHAnsi"/>
                <w:sz w:val="18"/>
                <w:szCs w:val="18"/>
              </w:rPr>
              <w:lastRenderedPageBreak/>
              <w:t>Zona del Centro Histórico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Número de anuncios no permitidos </w:t>
            </w:r>
            <w:r w:rsidRPr="00A07FD8">
              <w:rPr>
                <w:rFonts w:cstheme="minorHAnsi"/>
                <w:sz w:val="18"/>
                <w:szCs w:val="18"/>
              </w:rPr>
              <w:t>programados)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D1564C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</w:t>
            </w:r>
            <w:r w:rsidR="00943F2D" w:rsidRPr="00A07FD8">
              <w:rPr>
                <w:rFonts w:cstheme="minorHAnsi"/>
                <w:sz w:val="18"/>
                <w:szCs w:val="18"/>
              </w:rPr>
              <w:t xml:space="preserve">anuncios no </w:t>
            </w:r>
            <w:r w:rsidR="00943F2D" w:rsidRPr="00A07FD8">
              <w:rPr>
                <w:rFonts w:cstheme="minorHAnsi"/>
                <w:sz w:val="18"/>
                <w:szCs w:val="18"/>
              </w:rPr>
              <w:lastRenderedPageBreak/>
              <w:t>permitidos retirados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4C" w:rsidRPr="00A07FD8" w:rsidRDefault="00AD0C12" w:rsidP="00D156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5</w:t>
            </w:r>
            <w:r w:rsidR="00943F2D" w:rsidRPr="00A07FD8">
              <w:rPr>
                <w:rFonts w:cstheme="minorHAnsi"/>
                <w:sz w:val="18"/>
                <w:szCs w:val="18"/>
              </w:rPr>
              <w:t>0</w:t>
            </w:r>
            <w:r w:rsidR="00D1564C" w:rsidRPr="00A07FD8">
              <w:rPr>
                <w:rFonts w:cstheme="minorHAnsi"/>
                <w:sz w:val="18"/>
                <w:szCs w:val="18"/>
              </w:rPr>
              <w:t xml:space="preserve"> </w:t>
            </w:r>
            <w:r w:rsidR="00943F2D" w:rsidRPr="00A07FD8">
              <w:rPr>
                <w:rFonts w:cstheme="minorHAnsi"/>
                <w:sz w:val="18"/>
                <w:szCs w:val="18"/>
              </w:rPr>
              <w:t xml:space="preserve">anuncios no </w:t>
            </w:r>
            <w:r w:rsidR="00943F2D" w:rsidRPr="00A07FD8">
              <w:rPr>
                <w:rFonts w:cstheme="minorHAnsi"/>
                <w:sz w:val="18"/>
                <w:szCs w:val="18"/>
              </w:rPr>
              <w:lastRenderedPageBreak/>
              <w:t>permitidos retirados de la Zona del Centro Histórico</w:t>
            </w:r>
            <w:r w:rsidR="00D1564C"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8D46BE" w:rsidP="00AD0C12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de </w:t>
            </w:r>
            <w:r w:rsidR="00AD0C12" w:rsidRPr="00A07FD8">
              <w:rPr>
                <w:rFonts w:cstheme="minorHAnsi"/>
                <w:lang w:val="es-ES"/>
              </w:rPr>
              <w:t>Clausura de anuncios desproporcionados, no permitidos por el Artículo 34 de la Gaceta Municipal.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anuncios no permitidos clausurados de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8D46BE" w:rsidP="00AD0C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AD0C12" w:rsidRPr="00A07FD8">
              <w:rPr>
                <w:rFonts w:cstheme="minorHAnsi"/>
                <w:sz w:val="18"/>
                <w:szCs w:val="18"/>
              </w:rPr>
              <w:t>Número de anuncios no permitidos clausurados de la Zona del Centro Histórico</w:t>
            </w:r>
            <w:r w:rsidR="00AD0C12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AD0C12" w:rsidRPr="00A07FD8">
              <w:rPr>
                <w:rFonts w:cstheme="minorHAnsi"/>
                <w:sz w:val="18"/>
                <w:szCs w:val="18"/>
              </w:rPr>
              <w:t>Número de anuncios no permitidos en la Zona del Centro Histórico</w:t>
            </w:r>
            <w:r w:rsidR="00AD0C12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anuncios no permitidos clausurados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12" w:rsidRPr="00A07FD8" w:rsidRDefault="00AD0C12" w:rsidP="00AD0C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50 anuncios no permitidos clausurados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8D46BE" w:rsidP="001A38D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de </w:t>
            </w:r>
            <w:r w:rsidR="001A38DC" w:rsidRPr="00A07FD8">
              <w:rPr>
                <w:rFonts w:cstheme="minorHAnsi"/>
                <w:lang w:val="es-ES"/>
              </w:rPr>
              <w:t>Cuidado y protección de la fincas con valor patrimonial.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  <w:lang w:val="es-ES"/>
              </w:rPr>
              <w:t>Número de fincas con valor patrimonial restauradas.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1A38DC"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="001A38D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/ 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1A38DC"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registradas</w:t>
            </w:r>
            <w:r w:rsidR="001A38DC" w:rsidRPr="00A07FD8">
              <w:rPr>
                <w:rFonts w:cstheme="minorHAnsi"/>
                <w:sz w:val="18"/>
                <w:szCs w:val="18"/>
              </w:rPr>
              <w:t xml:space="preserve"> en la Zona del Centro Histórico</w:t>
            </w:r>
            <w:r w:rsidRPr="00A07FD8">
              <w:rPr>
                <w:rFonts w:cstheme="minorHAnsi"/>
                <w:sz w:val="18"/>
                <w:szCs w:val="18"/>
              </w:rPr>
              <w:t>)</w:t>
            </w:r>
            <w:r w:rsidR="001A38D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DC" w:rsidRPr="00A07FD8" w:rsidRDefault="001A38DC" w:rsidP="001A3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10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>fincas con valor patrimonial restauradas</w:t>
            </w:r>
            <w:r w:rsidRPr="00A07FD8">
              <w:rPr>
                <w:rFonts w:cstheme="minorHAnsi"/>
                <w:sz w:val="18"/>
                <w:szCs w:val="18"/>
              </w:rPr>
              <w:t xml:space="preserve"> de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8D46BE" w:rsidP="00097D6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097D60" w:rsidRPr="00A07FD8">
              <w:rPr>
                <w:rFonts w:cstheme="minorHAnsi"/>
                <w:lang w:val="es-ES"/>
              </w:rPr>
              <w:t>Regulación y cuidado en la aplicación de la señalética.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verificaciones de la señalética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097D60" w:rsidRPr="00A07FD8">
              <w:rPr>
                <w:rFonts w:cstheme="minorHAnsi"/>
                <w:sz w:val="18"/>
                <w:szCs w:val="18"/>
              </w:rPr>
              <w:t>Número de verificaciones de la señalética en Centro Histórico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 en el año 2019/ 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Pr="00A07FD8">
              <w:rPr>
                <w:rFonts w:cstheme="minorHAnsi"/>
                <w:sz w:val="18"/>
                <w:szCs w:val="18"/>
              </w:rPr>
              <w:t xml:space="preserve">total </w:t>
            </w:r>
            <w:r w:rsidR="00097D60" w:rsidRPr="00A07FD8">
              <w:rPr>
                <w:rFonts w:cstheme="minorHAnsi"/>
                <w:sz w:val="18"/>
                <w:szCs w:val="18"/>
              </w:rPr>
              <w:t>de verificaciones de la señalética en Centro Histórico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365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730 inspecciones en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registradas en bitácora.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8D46BE" w:rsidP="00097D60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097D60" w:rsidRPr="00A07FD8">
              <w:rPr>
                <w:rFonts w:cstheme="minorHAnsi"/>
                <w:lang w:val="es-ES"/>
              </w:rPr>
              <w:t>Inspección y regulación del uso correcto de las fincas.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inspecciones del uso de fincas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16589A" w:rsidP="001658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de </w:t>
            </w:r>
            <w:r w:rsidR="00097D60" w:rsidRPr="00A07FD8">
              <w:rPr>
                <w:rFonts w:cstheme="minorHAnsi"/>
                <w:sz w:val="18"/>
                <w:szCs w:val="18"/>
                <w:lang w:val="es-ES"/>
              </w:rPr>
              <w:t xml:space="preserve">fincas dentro </w:t>
            </w:r>
            <w:r w:rsidR="00097D60" w:rsidRPr="00A07FD8">
              <w:rPr>
                <w:rFonts w:cstheme="minorHAnsi"/>
                <w:sz w:val="18"/>
                <w:szCs w:val="18"/>
              </w:rPr>
              <w:t>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/ </w:t>
            </w:r>
            <w:r w:rsidR="00097D60" w:rsidRPr="00A07FD8">
              <w:rPr>
                <w:rFonts w:cstheme="minorHAnsi"/>
                <w:sz w:val="18"/>
                <w:szCs w:val="18"/>
              </w:rPr>
              <w:t xml:space="preserve">Número total </w:t>
            </w:r>
            <w:r w:rsidRPr="00A07FD8">
              <w:rPr>
                <w:rFonts w:cstheme="minorHAnsi"/>
                <w:sz w:val="18"/>
                <w:szCs w:val="18"/>
                <w:lang w:val="es-ES"/>
              </w:rPr>
              <w:t xml:space="preserve">fincas dentro </w:t>
            </w:r>
            <w:r w:rsidRPr="00A07FD8">
              <w:rPr>
                <w:rFonts w:cstheme="minorHAnsi"/>
                <w:sz w:val="18"/>
                <w:szCs w:val="18"/>
              </w:rPr>
              <w:t>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097D60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0 fincas 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60" w:rsidRPr="00A07FD8" w:rsidRDefault="00097D60" w:rsidP="00097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fincas de la Zona del Centro Histórico detectadas con uso de suelo irregular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8D46BE" w:rsidP="007713F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Porcentaje </w:t>
            </w:r>
            <w:r w:rsidR="007713FC" w:rsidRPr="00A07FD8">
              <w:rPr>
                <w:rFonts w:cstheme="minorHAnsi"/>
                <w:lang w:val="es-ES"/>
              </w:rPr>
              <w:t>Plan de acción para la regulación de la educación vial.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Número de Acuerdos de Cabildo para la Regulación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Vial en 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16589A" w:rsidP="007713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(</w:t>
            </w:r>
            <w:r w:rsidR="007713FC" w:rsidRPr="00A07FD8">
              <w:rPr>
                <w:rFonts w:cstheme="minorHAnsi"/>
                <w:sz w:val="18"/>
                <w:szCs w:val="18"/>
              </w:rPr>
              <w:t>Número de Acuerdos de Cabildo para la Regulación Vial en 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en el año 2019/ </w:t>
            </w:r>
            <w:r w:rsidR="007713FC" w:rsidRPr="00A07FD8">
              <w:rPr>
                <w:rFonts w:cstheme="minorHAnsi"/>
                <w:sz w:val="18"/>
                <w:szCs w:val="18"/>
              </w:rPr>
              <w:t xml:space="preserve">Número </w:t>
            </w:r>
            <w:r w:rsidR="00A2097E" w:rsidRPr="00A07FD8">
              <w:rPr>
                <w:rFonts w:cstheme="minorHAnsi"/>
                <w:sz w:val="18"/>
                <w:szCs w:val="18"/>
              </w:rPr>
              <w:t xml:space="preserve">total </w:t>
            </w:r>
            <w:r w:rsidR="007713FC" w:rsidRPr="00A07FD8">
              <w:rPr>
                <w:rFonts w:cstheme="minorHAnsi"/>
                <w:sz w:val="18"/>
                <w:szCs w:val="18"/>
              </w:rPr>
              <w:t>de Acuerdos de Cabildo para la Regulación Vial en el Centro Histórico</w:t>
            </w:r>
            <w:r w:rsidR="00A2097E"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220017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 xml:space="preserve">0 Acuerdos de Cabildo para la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Regulación Vial en el Centro Histórico.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lastRenderedPageBreak/>
              <w:t xml:space="preserve">1Acuerdo de Cabildo publicado en </w:t>
            </w:r>
            <w:r w:rsidRPr="00A07FD8">
              <w:rPr>
                <w:rFonts w:cstheme="minorHAnsi"/>
                <w:sz w:val="18"/>
                <w:szCs w:val="18"/>
              </w:rPr>
              <w:lastRenderedPageBreak/>
              <w:t>la Gaceta Municipal  para la Regulación Vial en el Centro Histórico</w:t>
            </w:r>
          </w:p>
        </w:tc>
      </w:tr>
      <w:tr w:rsidR="00C47F66" w:rsidRPr="00A07FD8" w:rsidTr="0085694D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8D46BE" w:rsidP="007713FC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lastRenderedPageBreak/>
              <w:t xml:space="preserve">Porcentaje </w:t>
            </w:r>
            <w:r w:rsidR="007713FC" w:rsidRPr="00A07FD8">
              <w:rPr>
                <w:rFonts w:cstheme="minorHAnsi"/>
                <w:lang w:val="es-ES"/>
              </w:rPr>
              <w:t>Calendarización de espacios públicos.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</w:rPr>
            </w:pPr>
            <w:r w:rsidRPr="00A07FD8">
              <w:rPr>
                <w:rFonts w:cstheme="minorHAnsi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Número de Operativos de intervención y rehabilitación de espacios públicos en la Zona del Centro Histórico.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A2097E" w:rsidP="007713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(</w:t>
            </w:r>
            <w:r w:rsidR="007713FC" w:rsidRPr="00A07FD8">
              <w:rPr>
                <w:rFonts w:cstheme="minorHAnsi"/>
                <w:sz w:val="18"/>
                <w:szCs w:val="18"/>
              </w:rPr>
              <w:t>Número de Operativos de intervención y rehabilitación de espacios públicos en la Zona del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="007713FC" w:rsidRPr="00A07FD8">
              <w:rPr>
                <w:rFonts w:cstheme="minorHAnsi"/>
                <w:sz w:val="18"/>
                <w:szCs w:val="18"/>
              </w:rPr>
              <w:t>Número total de espacios públicos en la Zona del Centro Histórico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  <w:r w:rsidR="007713FC" w:rsidRPr="00A07FD8">
              <w:rPr>
                <w:rFonts w:ascii="Calibri" w:eastAsia="Times New Roman" w:hAnsi="Calibri" w:cs="Calibri"/>
                <w:sz w:val="18"/>
                <w:szCs w:val="18"/>
              </w:rPr>
              <w:t>*100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ascii="Calibri" w:hAnsi="Calibri" w:cs="Calibri"/>
              </w:rPr>
            </w:pPr>
            <w:r w:rsidRPr="00A07FD8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10 Operativos de intervención y rehabilitación de espacios públicos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FC" w:rsidRPr="00A07FD8" w:rsidRDefault="007713FC" w:rsidP="007713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7FD8">
              <w:rPr>
                <w:rFonts w:cstheme="minorHAnsi"/>
                <w:sz w:val="18"/>
                <w:szCs w:val="18"/>
              </w:rPr>
              <w:t>40 Operativos de intervención y rehabilitación de espacios públicos en la Zona del Centro Histórico</w:t>
            </w:r>
            <w:r w:rsidRPr="00A07FD8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C47F66" w:rsidRPr="00A07FD8" w:rsidTr="0085694D">
        <w:tc>
          <w:tcPr>
            <w:tcW w:w="2429" w:type="pct"/>
            <w:gridSpan w:val="3"/>
            <w:shd w:val="clear" w:color="auto" w:fill="D9D9D9" w:themeFill="background1" w:themeFillShade="D9"/>
          </w:tcPr>
          <w:p w:rsidR="007713FC" w:rsidRPr="00A07FD8" w:rsidRDefault="007713FC" w:rsidP="007713FC">
            <w:pPr>
              <w:rPr>
                <w:rFonts w:cstheme="minorHAnsi"/>
              </w:rPr>
            </w:pPr>
            <w:r w:rsidRPr="00A07FD8">
              <w:rPr>
                <w:rFonts w:cstheme="minorHAnsi"/>
              </w:rPr>
              <w:t>Clave presupuestal determinada para seguimiento del gasto</w:t>
            </w:r>
          </w:p>
        </w:tc>
        <w:tc>
          <w:tcPr>
            <w:tcW w:w="2571" w:type="pct"/>
            <w:gridSpan w:val="6"/>
            <w:shd w:val="clear" w:color="auto" w:fill="FABF8F" w:themeFill="accent6" w:themeFillTint="99"/>
          </w:tcPr>
          <w:p w:rsidR="007713FC" w:rsidRPr="00A07FD8" w:rsidRDefault="007713FC" w:rsidP="007713FC">
            <w:pPr>
              <w:rPr>
                <w:rFonts w:cstheme="minorHAnsi"/>
              </w:rPr>
            </w:pPr>
          </w:p>
        </w:tc>
      </w:tr>
    </w:tbl>
    <w:p w:rsidR="006560DD" w:rsidRPr="00A07FD8" w:rsidRDefault="006560DD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57477E" w:rsidRDefault="0057477E" w:rsidP="006560DD">
      <w:pPr>
        <w:rPr>
          <w:rFonts w:cstheme="minorHAnsi"/>
        </w:rPr>
      </w:pPr>
    </w:p>
    <w:p w:rsidR="00A079B8" w:rsidRDefault="00A079B8" w:rsidP="006560DD">
      <w:pPr>
        <w:rPr>
          <w:rFonts w:cstheme="minorHAnsi"/>
        </w:rPr>
      </w:pPr>
    </w:p>
    <w:p w:rsidR="00A079B8" w:rsidRDefault="00A079B8" w:rsidP="006560DD">
      <w:pPr>
        <w:rPr>
          <w:rFonts w:cstheme="minorHAnsi"/>
        </w:rPr>
      </w:pPr>
    </w:p>
    <w:p w:rsidR="00A079B8" w:rsidRDefault="00A079B8" w:rsidP="006560DD">
      <w:pPr>
        <w:rPr>
          <w:rFonts w:cstheme="minorHAnsi"/>
        </w:rPr>
      </w:pPr>
    </w:p>
    <w:p w:rsidR="00A079B8" w:rsidRDefault="00A079B8" w:rsidP="006560DD">
      <w:pPr>
        <w:rPr>
          <w:rFonts w:cstheme="minorHAnsi"/>
        </w:rPr>
      </w:pPr>
    </w:p>
    <w:p w:rsidR="00A079B8" w:rsidRDefault="00A079B8" w:rsidP="006560DD">
      <w:pPr>
        <w:rPr>
          <w:rFonts w:cstheme="minorHAnsi"/>
        </w:rPr>
      </w:pPr>
    </w:p>
    <w:p w:rsidR="00A079B8" w:rsidRPr="00A07FD8" w:rsidRDefault="00A079B8" w:rsidP="006560DD">
      <w:pPr>
        <w:rPr>
          <w:rFonts w:cstheme="minorHAnsi"/>
        </w:rPr>
      </w:pPr>
    </w:p>
    <w:p w:rsidR="0057477E" w:rsidRPr="00A07FD8" w:rsidRDefault="0057477E" w:rsidP="006560DD">
      <w:pPr>
        <w:rPr>
          <w:rFonts w:cstheme="minorHAnsi"/>
        </w:rPr>
      </w:pPr>
    </w:p>
    <w:p w:rsidR="00AB1920" w:rsidRPr="00A07FD8" w:rsidRDefault="00AB1920" w:rsidP="005C50F9">
      <w:pPr>
        <w:rPr>
          <w:rFonts w:cstheme="minorHAnsi"/>
          <w:b/>
          <w:sz w:val="8"/>
          <w:szCs w:val="8"/>
        </w:rPr>
      </w:pPr>
    </w:p>
    <w:p w:rsidR="005C50F9" w:rsidRPr="00A07FD8" w:rsidRDefault="005C50F9" w:rsidP="005C50F9">
      <w:pPr>
        <w:rPr>
          <w:rFonts w:cstheme="minorHAnsi"/>
          <w:b/>
          <w:sz w:val="40"/>
          <w:szCs w:val="40"/>
        </w:rPr>
      </w:pPr>
      <w:r w:rsidRPr="00A07FD8">
        <w:rPr>
          <w:rFonts w:cstheme="minorHAnsi"/>
          <w:b/>
          <w:sz w:val="40"/>
          <w:szCs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47F66" w:rsidRPr="00A07FD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07FD8" w:rsidRDefault="006560DD" w:rsidP="00E11F79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rFonts w:cstheme="minorHAnsi"/>
                <w:b/>
              </w:rPr>
              <w:t>Cronograma Anual  de Actividades</w:t>
            </w:r>
          </w:p>
        </w:tc>
      </w:tr>
      <w:tr w:rsidR="00C47F66" w:rsidRPr="00A07FD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F6D91" w:rsidRPr="00A07FD8" w:rsidRDefault="007F6D91" w:rsidP="007F6D91">
            <w:pPr>
              <w:jc w:val="both"/>
              <w:rPr>
                <w:b/>
              </w:rPr>
            </w:pPr>
            <w:r w:rsidRPr="00A07FD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b/>
              </w:rPr>
            </w:pPr>
            <w:r w:rsidRPr="00A07FD8">
              <w:rPr>
                <w:b/>
              </w:rPr>
              <w:t>2018 - 2019</w:t>
            </w:r>
          </w:p>
        </w:tc>
      </w:tr>
      <w:tr w:rsidR="00C47F66" w:rsidRPr="00A07FD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F6D91" w:rsidRPr="00A07FD8" w:rsidRDefault="007F6D91" w:rsidP="007F6D91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F6D91" w:rsidRPr="00A07FD8" w:rsidRDefault="007F6D91" w:rsidP="007F6D91">
            <w:pPr>
              <w:jc w:val="center"/>
              <w:rPr>
                <w:rFonts w:cstheme="minorHAnsi"/>
                <w:b/>
              </w:rPr>
            </w:pPr>
            <w:r w:rsidRPr="00A07FD8">
              <w:rPr>
                <w:b/>
              </w:rPr>
              <w:t>SEP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spacing w:line="256" w:lineRule="auto"/>
              <w:jc w:val="both"/>
              <w:rPr>
                <w:rFonts w:cstheme="minorHAnsi"/>
              </w:rPr>
            </w:pPr>
            <w:r w:rsidRPr="00A07FD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Trabajo conjunto con diferentes dependencias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 xml:space="preserve">   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Búsqueda de presupuestos</w:t>
            </w:r>
            <w:r w:rsidR="00AB1920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7F6D91" w:rsidRPr="00A07FD8" w:rsidRDefault="007F6D91" w:rsidP="007F6D91">
            <w:pPr>
              <w:jc w:val="both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Obtención de los recursos</w:t>
            </w:r>
            <w:r w:rsidR="00AB1920" w:rsidRPr="00A07FD8">
              <w:rPr>
                <w:rFonts w:cstheme="minorHAnsi"/>
                <w:lang w:val="es-ES"/>
              </w:rPr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6D91" w:rsidRPr="00A07FD8" w:rsidRDefault="007F6D91" w:rsidP="007F6D91">
            <w:pPr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7F6D91" w:rsidRPr="00A07FD8" w:rsidRDefault="007F6D91" w:rsidP="007F6D91">
            <w:pPr>
              <w:jc w:val="center"/>
              <w:rPr>
                <w:rFonts w:cstheme="minorHAnsi"/>
                <w:lang w:val="es-ES"/>
              </w:rPr>
            </w:pPr>
            <w:r w:rsidRPr="00A07FD8">
              <w:rPr>
                <w:rFonts w:cstheme="minorHAnsi"/>
                <w:lang w:val="es-ES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12167C" w:rsidRPr="00A07FD8" w:rsidRDefault="0012167C" w:rsidP="0012167C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  <w:tr w:rsidR="00C47F66" w:rsidRPr="00A07FD8" w:rsidTr="00E11F79">
        <w:trPr>
          <w:trHeight w:val="57"/>
        </w:trPr>
        <w:tc>
          <w:tcPr>
            <w:tcW w:w="1808" w:type="pct"/>
            <w:shd w:val="clear" w:color="auto" w:fill="auto"/>
          </w:tcPr>
          <w:p w:rsidR="0012167C" w:rsidRPr="00A07FD8" w:rsidRDefault="0012167C" w:rsidP="0012167C">
            <w:pPr>
              <w:jc w:val="both"/>
              <w:rPr>
                <w:rFonts w:cstheme="minorHAnsi"/>
                <w:shd w:val="clear" w:color="auto" w:fill="FFFFFF"/>
              </w:rPr>
            </w:pPr>
            <w:r w:rsidRPr="00A07FD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2167C" w:rsidRPr="00A07FD8" w:rsidRDefault="0012167C" w:rsidP="0012167C">
            <w:pPr>
              <w:jc w:val="center"/>
              <w:rPr>
                <w:sz w:val="20"/>
              </w:rPr>
            </w:pPr>
            <w:r w:rsidRPr="00A07FD8">
              <w:rPr>
                <w:sz w:val="20"/>
              </w:rPr>
              <w:t>X</w:t>
            </w:r>
          </w:p>
        </w:tc>
      </w:tr>
    </w:tbl>
    <w:p w:rsidR="006560DD" w:rsidRPr="00A07FD8" w:rsidRDefault="006560DD" w:rsidP="006560DD">
      <w:pPr>
        <w:rPr>
          <w:rFonts w:cstheme="minorHAnsi"/>
          <w:i/>
        </w:rPr>
      </w:pPr>
    </w:p>
    <w:p w:rsidR="00BE22CB" w:rsidRPr="00C47F66" w:rsidRDefault="00A079B8" w:rsidP="00A079B8">
      <w:pPr>
        <w:tabs>
          <w:tab w:val="left" w:pos="4095"/>
        </w:tabs>
        <w:rPr>
          <w:rFonts w:cstheme="minorHAnsi"/>
          <w:i/>
        </w:rPr>
      </w:pPr>
      <w:r>
        <w:rPr>
          <w:rFonts w:cstheme="minorHAnsi"/>
          <w:b/>
        </w:rPr>
        <w:tab/>
      </w:r>
      <w:bookmarkStart w:id="0" w:name="_GoBack"/>
      <w:bookmarkEnd w:id="0"/>
    </w:p>
    <w:sectPr w:rsidR="00BE22CB" w:rsidRPr="00C47F66" w:rsidSect="00E11F79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17" w:rsidRDefault="00220017" w:rsidP="00985B24">
      <w:pPr>
        <w:spacing w:after="0" w:line="240" w:lineRule="auto"/>
      </w:pPr>
      <w:r>
        <w:separator/>
      </w:r>
    </w:p>
  </w:endnote>
  <w:end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17" w:rsidRDefault="00220017" w:rsidP="00985B24">
      <w:pPr>
        <w:spacing w:after="0" w:line="240" w:lineRule="auto"/>
      </w:pPr>
      <w:r>
        <w:separator/>
      </w:r>
    </w:p>
  </w:footnote>
  <w:footnote w:type="continuationSeparator" w:id="0">
    <w:p w:rsidR="00220017" w:rsidRDefault="0022001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17" w:rsidRDefault="0022001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20017" w:rsidRPr="00A53525" w:rsidTr="00E11F79">
      <w:trPr>
        <w:trHeight w:val="841"/>
      </w:trPr>
      <w:tc>
        <w:tcPr>
          <w:tcW w:w="1651" w:type="dxa"/>
        </w:tcPr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20017" w:rsidRPr="005D6B0E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20017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20017" w:rsidRPr="00A53525" w:rsidRDefault="0022001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20017" w:rsidRDefault="00220017">
    <w:pPr>
      <w:pStyle w:val="Encabezado"/>
    </w:pPr>
  </w:p>
  <w:p w:rsidR="00220017" w:rsidRDefault="002200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9CB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9CD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11610D9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14C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3F66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FD1023E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3BA0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45BB617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3D16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527753B5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5418643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03C8A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BE40031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5E2D29D1"/>
    <w:multiLevelType w:val="hybridMultilevel"/>
    <w:tmpl w:val="9738BE58"/>
    <w:lvl w:ilvl="0" w:tplc="DBD869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0" w:hanging="360"/>
      </w:pPr>
    </w:lvl>
    <w:lvl w:ilvl="2" w:tplc="080A001B" w:tentative="1">
      <w:start w:val="1"/>
      <w:numFmt w:val="lowerRoman"/>
      <w:lvlText w:val="%3."/>
      <w:lvlJc w:val="right"/>
      <w:pPr>
        <w:ind w:left="1960" w:hanging="180"/>
      </w:pPr>
    </w:lvl>
    <w:lvl w:ilvl="3" w:tplc="080A000F" w:tentative="1">
      <w:start w:val="1"/>
      <w:numFmt w:val="decimal"/>
      <w:lvlText w:val="%4."/>
      <w:lvlJc w:val="left"/>
      <w:pPr>
        <w:ind w:left="2680" w:hanging="360"/>
      </w:pPr>
    </w:lvl>
    <w:lvl w:ilvl="4" w:tplc="080A0019" w:tentative="1">
      <w:start w:val="1"/>
      <w:numFmt w:val="lowerLetter"/>
      <w:lvlText w:val="%5."/>
      <w:lvlJc w:val="left"/>
      <w:pPr>
        <w:ind w:left="3400" w:hanging="360"/>
      </w:pPr>
    </w:lvl>
    <w:lvl w:ilvl="5" w:tplc="080A001B" w:tentative="1">
      <w:start w:val="1"/>
      <w:numFmt w:val="lowerRoman"/>
      <w:lvlText w:val="%6."/>
      <w:lvlJc w:val="right"/>
      <w:pPr>
        <w:ind w:left="4120" w:hanging="180"/>
      </w:pPr>
    </w:lvl>
    <w:lvl w:ilvl="6" w:tplc="080A000F" w:tentative="1">
      <w:start w:val="1"/>
      <w:numFmt w:val="decimal"/>
      <w:lvlText w:val="%7."/>
      <w:lvlJc w:val="left"/>
      <w:pPr>
        <w:ind w:left="4840" w:hanging="360"/>
      </w:pPr>
    </w:lvl>
    <w:lvl w:ilvl="7" w:tplc="080A0019" w:tentative="1">
      <w:start w:val="1"/>
      <w:numFmt w:val="lowerLetter"/>
      <w:lvlText w:val="%8."/>
      <w:lvlJc w:val="left"/>
      <w:pPr>
        <w:ind w:left="5560" w:hanging="360"/>
      </w:pPr>
    </w:lvl>
    <w:lvl w:ilvl="8" w:tplc="08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60B65EF8"/>
    <w:multiLevelType w:val="hybridMultilevel"/>
    <w:tmpl w:val="F6060BF2"/>
    <w:lvl w:ilvl="0" w:tplc="6B8C6B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61A07C92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7D7A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E4511"/>
    <w:multiLevelType w:val="hybridMultilevel"/>
    <w:tmpl w:val="79203714"/>
    <w:lvl w:ilvl="0" w:tplc="47B65F5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1"/>
  </w:num>
  <w:num w:numId="8">
    <w:abstractNumId w:val="18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68B7"/>
    <w:rsid w:val="00031BE1"/>
    <w:rsid w:val="0004597D"/>
    <w:rsid w:val="00055E9C"/>
    <w:rsid w:val="00057DDA"/>
    <w:rsid w:val="00061287"/>
    <w:rsid w:val="0006239C"/>
    <w:rsid w:val="00066DF5"/>
    <w:rsid w:val="00071F00"/>
    <w:rsid w:val="000758CD"/>
    <w:rsid w:val="00080596"/>
    <w:rsid w:val="000843BC"/>
    <w:rsid w:val="00097D60"/>
    <w:rsid w:val="000D7A4E"/>
    <w:rsid w:val="000F37FE"/>
    <w:rsid w:val="001018DE"/>
    <w:rsid w:val="00114726"/>
    <w:rsid w:val="0012167C"/>
    <w:rsid w:val="001324C2"/>
    <w:rsid w:val="00140B07"/>
    <w:rsid w:val="00144C96"/>
    <w:rsid w:val="001473C9"/>
    <w:rsid w:val="00147A36"/>
    <w:rsid w:val="00154673"/>
    <w:rsid w:val="0016589A"/>
    <w:rsid w:val="00180071"/>
    <w:rsid w:val="0018108C"/>
    <w:rsid w:val="00193C94"/>
    <w:rsid w:val="001A341B"/>
    <w:rsid w:val="001A38DC"/>
    <w:rsid w:val="001A4A4F"/>
    <w:rsid w:val="001A597F"/>
    <w:rsid w:val="001B5025"/>
    <w:rsid w:val="001C61B0"/>
    <w:rsid w:val="001E6F41"/>
    <w:rsid w:val="00202D0C"/>
    <w:rsid w:val="0021554A"/>
    <w:rsid w:val="00220017"/>
    <w:rsid w:val="00220DAE"/>
    <w:rsid w:val="00233105"/>
    <w:rsid w:val="00235314"/>
    <w:rsid w:val="0024680E"/>
    <w:rsid w:val="002504EE"/>
    <w:rsid w:val="00290B9D"/>
    <w:rsid w:val="002A1734"/>
    <w:rsid w:val="002B1725"/>
    <w:rsid w:val="002E1F86"/>
    <w:rsid w:val="002E66F8"/>
    <w:rsid w:val="002E6D17"/>
    <w:rsid w:val="002F08F4"/>
    <w:rsid w:val="002F1605"/>
    <w:rsid w:val="002F7196"/>
    <w:rsid w:val="003013DE"/>
    <w:rsid w:val="003039E8"/>
    <w:rsid w:val="00306751"/>
    <w:rsid w:val="00314A8B"/>
    <w:rsid w:val="00350D16"/>
    <w:rsid w:val="00351B97"/>
    <w:rsid w:val="0035582D"/>
    <w:rsid w:val="00356832"/>
    <w:rsid w:val="003663A1"/>
    <w:rsid w:val="00371857"/>
    <w:rsid w:val="00372B4B"/>
    <w:rsid w:val="003A2730"/>
    <w:rsid w:val="003A5F4F"/>
    <w:rsid w:val="003C6D6B"/>
    <w:rsid w:val="003C7943"/>
    <w:rsid w:val="003D0BD4"/>
    <w:rsid w:val="003D4A16"/>
    <w:rsid w:val="003D5322"/>
    <w:rsid w:val="003E6ECF"/>
    <w:rsid w:val="00424DAD"/>
    <w:rsid w:val="004334AA"/>
    <w:rsid w:val="004417C8"/>
    <w:rsid w:val="00441D71"/>
    <w:rsid w:val="0047761D"/>
    <w:rsid w:val="00490AC4"/>
    <w:rsid w:val="004A391E"/>
    <w:rsid w:val="004D3CBE"/>
    <w:rsid w:val="004F5268"/>
    <w:rsid w:val="005014C2"/>
    <w:rsid w:val="0054078A"/>
    <w:rsid w:val="0056236E"/>
    <w:rsid w:val="0057477E"/>
    <w:rsid w:val="005840EE"/>
    <w:rsid w:val="005914B2"/>
    <w:rsid w:val="005A518E"/>
    <w:rsid w:val="005B713E"/>
    <w:rsid w:val="005B74A6"/>
    <w:rsid w:val="005C0381"/>
    <w:rsid w:val="005C50F9"/>
    <w:rsid w:val="005D3959"/>
    <w:rsid w:val="005F6BB1"/>
    <w:rsid w:val="00602FCF"/>
    <w:rsid w:val="00613CE2"/>
    <w:rsid w:val="006450B0"/>
    <w:rsid w:val="006560DD"/>
    <w:rsid w:val="006635FA"/>
    <w:rsid w:val="0066538C"/>
    <w:rsid w:val="006665C9"/>
    <w:rsid w:val="0067614A"/>
    <w:rsid w:val="006A336F"/>
    <w:rsid w:val="006A7C92"/>
    <w:rsid w:val="006B020C"/>
    <w:rsid w:val="006F4734"/>
    <w:rsid w:val="00705CDF"/>
    <w:rsid w:val="007206CD"/>
    <w:rsid w:val="0072254E"/>
    <w:rsid w:val="00731BE2"/>
    <w:rsid w:val="0073463B"/>
    <w:rsid w:val="00755F4B"/>
    <w:rsid w:val="0076351F"/>
    <w:rsid w:val="007713FC"/>
    <w:rsid w:val="00773470"/>
    <w:rsid w:val="0077378F"/>
    <w:rsid w:val="007930BB"/>
    <w:rsid w:val="0079540C"/>
    <w:rsid w:val="007A58BA"/>
    <w:rsid w:val="007B60B2"/>
    <w:rsid w:val="007C26A7"/>
    <w:rsid w:val="007D377D"/>
    <w:rsid w:val="007D62D9"/>
    <w:rsid w:val="007F6D91"/>
    <w:rsid w:val="008149DF"/>
    <w:rsid w:val="0085694D"/>
    <w:rsid w:val="008824CC"/>
    <w:rsid w:val="008879B7"/>
    <w:rsid w:val="00892C74"/>
    <w:rsid w:val="00892EA8"/>
    <w:rsid w:val="008934DE"/>
    <w:rsid w:val="008945CA"/>
    <w:rsid w:val="00895B68"/>
    <w:rsid w:val="008A3650"/>
    <w:rsid w:val="008B6993"/>
    <w:rsid w:val="008D46BE"/>
    <w:rsid w:val="00912A33"/>
    <w:rsid w:val="00915455"/>
    <w:rsid w:val="009304A5"/>
    <w:rsid w:val="00936553"/>
    <w:rsid w:val="00943F2D"/>
    <w:rsid w:val="00946B9B"/>
    <w:rsid w:val="00956576"/>
    <w:rsid w:val="009709C2"/>
    <w:rsid w:val="00976E61"/>
    <w:rsid w:val="00981E99"/>
    <w:rsid w:val="00985B24"/>
    <w:rsid w:val="00996C9A"/>
    <w:rsid w:val="009B23B5"/>
    <w:rsid w:val="009C1644"/>
    <w:rsid w:val="009C2BB5"/>
    <w:rsid w:val="009C5F77"/>
    <w:rsid w:val="009E4D5E"/>
    <w:rsid w:val="009F0D18"/>
    <w:rsid w:val="009F21E1"/>
    <w:rsid w:val="009F5E5D"/>
    <w:rsid w:val="00A079B8"/>
    <w:rsid w:val="00A07FD8"/>
    <w:rsid w:val="00A2097E"/>
    <w:rsid w:val="00A227D7"/>
    <w:rsid w:val="00A32D8C"/>
    <w:rsid w:val="00A34557"/>
    <w:rsid w:val="00A53B42"/>
    <w:rsid w:val="00A54501"/>
    <w:rsid w:val="00A57930"/>
    <w:rsid w:val="00A624F2"/>
    <w:rsid w:val="00A65BAF"/>
    <w:rsid w:val="00A67619"/>
    <w:rsid w:val="00A70FD2"/>
    <w:rsid w:val="00A80D75"/>
    <w:rsid w:val="00A816A4"/>
    <w:rsid w:val="00AA22B4"/>
    <w:rsid w:val="00AA751A"/>
    <w:rsid w:val="00AB1920"/>
    <w:rsid w:val="00AB5F46"/>
    <w:rsid w:val="00AD0C12"/>
    <w:rsid w:val="00AD46E4"/>
    <w:rsid w:val="00AD6073"/>
    <w:rsid w:val="00AF08AB"/>
    <w:rsid w:val="00B029DB"/>
    <w:rsid w:val="00B12EB8"/>
    <w:rsid w:val="00B147BE"/>
    <w:rsid w:val="00B15ABE"/>
    <w:rsid w:val="00B16918"/>
    <w:rsid w:val="00B3346E"/>
    <w:rsid w:val="00B34BDE"/>
    <w:rsid w:val="00B43DB8"/>
    <w:rsid w:val="00B60B83"/>
    <w:rsid w:val="00B64EE1"/>
    <w:rsid w:val="00B866F7"/>
    <w:rsid w:val="00B96F8F"/>
    <w:rsid w:val="00BA62A0"/>
    <w:rsid w:val="00BB0D9A"/>
    <w:rsid w:val="00BE22CB"/>
    <w:rsid w:val="00C058A9"/>
    <w:rsid w:val="00C24C92"/>
    <w:rsid w:val="00C3660A"/>
    <w:rsid w:val="00C367F9"/>
    <w:rsid w:val="00C41F6C"/>
    <w:rsid w:val="00C47F66"/>
    <w:rsid w:val="00C82F0B"/>
    <w:rsid w:val="00C82FCE"/>
    <w:rsid w:val="00C95412"/>
    <w:rsid w:val="00C97D13"/>
    <w:rsid w:val="00CB05E1"/>
    <w:rsid w:val="00CB49D7"/>
    <w:rsid w:val="00CD4875"/>
    <w:rsid w:val="00CE0AC3"/>
    <w:rsid w:val="00D01266"/>
    <w:rsid w:val="00D1564C"/>
    <w:rsid w:val="00D2224A"/>
    <w:rsid w:val="00D567C7"/>
    <w:rsid w:val="00D642AA"/>
    <w:rsid w:val="00D70B71"/>
    <w:rsid w:val="00D86FEF"/>
    <w:rsid w:val="00D8768D"/>
    <w:rsid w:val="00D91129"/>
    <w:rsid w:val="00D92A06"/>
    <w:rsid w:val="00DA1966"/>
    <w:rsid w:val="00DB07AA"/>
    <w:rsid w:val="00DC4FB7"/>
    <w:rsid w:val="00DD056F"/>
    <w:rsid w:val="00DD3837"/>
    <w:rsid w:val="00DD4092"/>
    <w:rsid w:val="00DE19F8"/>
    <w:rsid w:val="00DF068C"/>
    <w:rsid w:val="00DF2C38"/>
    <w:rsid w:val="00DF7C5A"/>
    <w:rsid w:val="00E046F4"/>
    <w:rsid w:val="00E11F79"/>
    <w:rsid w:val="00E2674C"/>
    <w:rsid w:val="00E40804"/>
    <w:rsid w:val="00E604B5"/>
    <w:rsid w:val="00E70DA8"/>
    <w:rsid w:val="00EA3338"/>
    <w:rsid w:val="00EB5304"/>
    <w:rsid w:val="00EB7FC0"/>
    <w:rsid w:val="00ED4324"/>
    <w:rsid w:val="00ED5849"/>
    <w:rsid w:val="00EE176B"/>
    <w:rsid w:val="00EE6DA2"/>
    <w:rsid w:val="00F120F9"/>
    <w:rsid w:val="00F276C6"/>
    <w:rsid w:val="00F53E2C"/>
    <w:rsid w:val="00F60872"/>
    <w:rsid w:val="00F62B11"/>
    <w:rsid w:val="00F66943"/>
    <w:rsid w:val="00F92B07"/>
    <w:rsid w:val="00FB5BBC"/>
    <w:rsid w:val="00FB795A"/>
    <w:rsid w:val="00FC0114"/>
    <w:rsid w:val="00FC096C"/>
    <w:rsid w:val="00FD1811"/>
    <w:rsid w:val="00FD50A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D42D1D5-A983-4B54-AD86-2740E8F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B033-1CF8-47F2-B089-7C600C88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2019-01-28T21:34:00Z</dcterms:created>
  <dcterms:modified xsi:type="dcterms:W3CDTF">2019-01-28T21:49:00Z</dcterms:modified>
</cp:coreProperties>
</file>