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F34D67" w:rsidRPr="00A36869" w:rsidRDefault="00F34D67" w:rsidP="00F34D67">
      <w:r w:rsidRPr="00A36869">
        <w:rPr>
          <w:b/>
          <w:sz w:val="40"/>
        </w:rPr>
        <w:t>ANEXO 1: DATOSGENERALES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5_Gestión y seguimiento de necesidades para la construcción de escuelas de nivel básico.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181758" w:rsidP="00282501">
            <w:pPr>
              <w:jc w:val="both"/>
            </w:pPr>
            <w:r w:rsidRPr="00A36869">
              <w:t xml:space="preserve">Colonias sin </w:t>
            </w:r>
            <w:r w:rsidR="00282501" w:rsidRPr="00A36869">
              <w:t>infraestructura</w:t>
            </w:r>
            <w:r w:rsidR="00F10CFF" w:rsidRPr="00A36869">
              <w:t xml:space="preserve"> </w:t>
            </w:r>
            <w:r w:rsidRPr="00A36869">
              <w:t>escolar,</w:t>
            </w:r>
            <w:r w:rsidR="00F10CFF" w:rsidRPr="00A36869">
              <w:t xml:space="preserve"> </w:t>
            </w:r>
            <w:r w:rsidRPr="00A36869">
              <w:t>d</w:t>
            </w:r>
            <w:r w:rsidR="00E4542E" w:rsidRPr="00A36869">
              <w:t xml:space="preserve">emanda de espacios (terrenos) para </w:t>
            </w:r>
            <w:r w:rsidRPr="00A36869">
              <w:t xml:space="preserve">la construcción de escuelas de </w:t>
            </w:r>
            <w:r w:rsidR="00E4542E" w:rsidRPr="00A36869">
              <w:t>edu</w:t>
            </w:r>
            <w:r w:rsidRPr="00A36869">
              <w:t>cación básica en 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55EAC" w:rsidRPr="00A36869" w:rsidRDefault="00354972" w:rsidP="00555EAC">
            <w:pPr>
              <w:jc w:val="both"/>
            </w:pPr>
            <w:r w:rsidRPr="00A36869">
              <w:t xml:space="preserve">Colonias que no cuenten con planteles educativos de nivel básico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Dra. Sara Susana Pozos Bravo.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E4542E" w:rsidRPr="00A36869" w:rsidRDefault="00181758" w:rsidP="00F10CFF">
            <w:pPr>
              <w:jc w:val="both"/>
            </w:pPr>
            <w:r w:rsidRPr="00A36869">
              <w:t xml:space="preserve">Generar capacidad de gestión para </w:t>
            </w:r>
            <w:r w:rsidR="00E4542E" w:rsidRPr="00A36869">
              <w:t xml:space="preserve">la </w:t>
            </w:r>
            <w:r w:rsidR="00F10CFF" w:rsidRPr="00A36869">
              <w:t>consecución en comodato</w:t>
            </w:r>
            <w:r w:rsidR="00E4542E" w:rsidRPr="00A36869">
              <w:t xml:space="preserve"> de </w:t>
            </w:r>
            <w:r w:rsidR="00F10CFF" w:rsidRPr="00A36869">
              <w:t xml:space="preserve">terrenos para la construcción de </w:t>
            </w:r>
            <w:r w:rsidR="00E4542E" w:rsidRPr="00A36869">
              <w:t>escuelas</w:t>
            </w:r>
            <w:r w:rsidR="005A14FE" w:rsidRPr="00A36869">
              <w:t xml:space="preserve"> </w:t>
            </w:r>
            <w:r w:rsidRPr="00A36869">
              <w:t>de educación básica primaria y secundaria</w:t>
            </w:r>
            <w:r w:rsidR="005A14FE" w:rsidRPr="00A36869">
              <w:t xml:space="preserve"> </w:t>
            </w:r>
            <w:r w:rsidRPr="00A36869">
              <w:t>que dé respuesta a la demanda ciudadana en esta materia, en el M</w:t>
            </w:r>
            <w:r w:rsidR="00E4542E" w:rsidRPr="00A36869">
              <w:t>unicipio.</w:t>
            </w:r>
            <w:r w:rsidRPr="00A36869">
              <w:t xml:space="preserve"> De San Pedro,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55EAC" w:rsidRPr="00A36869" w:rsidRDefault="003F5827" w:rsidP="00555EAC">
            <w:pPr>
              <w:jc w:val="both"/>
            </w:pPr>
            <w:r w:rsidRPr="00A36869">
              <w:t xml:space="preserve">Habitantes de 4 a 15 años de edad </w:t>
            </w: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4542E" w:rsidRPr="00A36869" w:rsidRDefault="00D515E5" w:rsidP="00E4542E">
            <w:pPr>
              <w:jc w:val="center"/>
            </w:pPr>
            <w:r w:rsidRPr="00A36869"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E4542E" w:rsidRPr="00A36869" w:rsidRDefault="003F5827" w:rsidP="00E4542E">
            <w:pPr>
              <w:jc w:val="center"/>
            </w:pPr>
            <w:r w:rsidRPr="00A36869">
              <w:t>falta nº</w:t>
            </w: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3F5827" w:rsidP="00E4542E">
            <w:pPr>
              <w:jc w:val="center"/>
            </w:pPr>
            <w:r w:rsidRPr="00A36869">
              <w:t>falta nº</w:t>
            </w:r>
          </w:p>
        </w:tc>
        <w:tc>
          <w:tcPr>
            <w:tcW w:w="1254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L)Monto total estimado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M)Categoría para Presupuesto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Federal /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4542E" w:rsidRPr="00A36869" w:rsidRDefault="00826B32" w:rsidP="00E4542E">
            <w:pPr>
              <w:jc w:val="center"/>
            </w:pPr>
            <w:r w:rsidRPr="00A36869">
              <w:t>X</w:t>
            </w:r>
          </w:p>
        </w:tc>
      </w:tr>
    </w:tbl>
    <w:p w:rsidR="00F34D67" w:rsidRPr="00A36869" w:rsidRDefault="00F34D67" w:rsidP="00F34D67"/>
    <w:p w:rsidR="00F34D67" w:rsidRPr="00A36869" w:rsidRDefault="00F34D67" w:rsidP="00F34D67"/>
    <w:p w:rsidR="00F34D67" w:rsidRPr="00A36869" w:rsidRDefault="00F34D67" w:rsidP="00F34D67">
      <w:pPr>
        <w:rPr>
          <w:b/>
          <w:sz w:val="40"/>
        </w:rPr>
      </w:pPr>
    </w:p>
    <w:p w:rsidR="000B242D" w:rsidRPr="00A36869" w:rsidRDefault="000B242D" w:rsidP="00F34D67">
      <w:pPr>
        <w:rPr>
          <w:b/>
          <w:sz w:val="8"/>
          <w:szCs w:val="8"/>
        </w:rPr>
      </w:pPr>
    </w:p>
    <w:p w:rsidR="000B242D" w:rsidRPr="00A36869" w:rsidRDefault="000B242D" w:rsidP="00F34D67">
      <w:pPr>
        <w:rPr>
          <w:b/>
          <w:sz w:val="8"/>
          <w:szCs w:val="8"/>
        </w:rPr>
      </w:pPr>
    </w:p>
    <w:p w:rsidR="00D87015" w:rsidRPr="00A36869" w:rsidRDefault="00D87015" w:rsidP="00F34D67">
      <w:pPr>
        <w:rPr>
          <w:b/>
          <w:sz w:val="10"/>
          <w:szCs w:val="10"/>
        </w:rPr>
      </w:pPr>
    </w:p>
    <w:p w:rsidR="00F34D67" w:rsidRPr="00A36869" w:rsidRDefault="00F34D67" w:rsidP="00F34D67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1034"/>
        <w:gridCol w:w="1491"/>
        <w:gridCol w:w="2269"/>
        <w:gridCol w:w="1147"/>
        <w:gridCol w:w="1095"/>
        <w:gridCol w:w="1303"/>
        <w:gridCol w:w="1483"/>
      </w:tblGrid>
      <w:tr w:rsidR="00A36869" w:rsidRPr="00A36869" w:rsidTr="00757189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F34D67" w:rsidRPr="00A36869" w:rsidRDefault="00F34D67" w:rsidP="00555EAC">
            <w:r w:rsidRPr="00A36869">
              <w:t xml:space="preserve">Principal producto esperado (base para el establecimiento de metas) </w:t>
            </w:r>
          </w:p>
        </w:tc>
        <w:tc>
          <w:tcPr>
            <w:tcW w:w="3715" w:type="pct"/>
            <w:gridSpan w:val="7"/>
            <w:shd w:val="clear" w:color="auto" w:fill="auto"/>
          </w:tcPr>
          <w:p w:rsidR="00F34D67" w:rsidRPr="00A36869" w:rsidRDefault="00F10CFF" w:rsidP="00F10CFF">
            <w:pPr>
              <w:jc w:val="both"/>
            </w:pPr>
            <w:r w:rsidRPr="00A36869">
              <w:t>Gestionar la asignación y aprobación de t</w:t>
            </w:r>
            <w:r w:rsidR="00F34D67" w:rsidRPr="00A36869">
              <w:t>errenos en comodato para la construcción de escuelas de educación básica.</w:t>
            </w:r>
          </w:p>
        </w:tc>
      </w:tr>
      <w:tr w:rsidR="00A36869" w:rsidRPr="00A36869" w:rsidTr="00757189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F34D67" w:rsidRPr="00A36869" w:rsidRDefault="00F34D67" w:rsidP="00555EAC">
            <w:r w:rsidRPr="00A36869">
              <w:t>Actividades a realizar para la obtención del producto esperado</w:t>
            </w:r>
          </w:p>
        </w:tc>
        <w:tc>
          <w:tcPr>
            <w:tcW w:w="3715" w:type="pct"/>
            <w:gridSpan w:val="7"/>
            <w:shd w:val="clear" w:color="auto" w:fill="auto"/>
          </w:tcPr>
          <w:p w:rsidR="00F34D67" w:rsidRPr="00A36869" w:rsidRDefault="00345FE0" w:rsidP="00345FE0">
            <w:pPr>
              <w:jc w:val="both"/>
              <w:rPr>
                <w:i/>
                <w:sz w:val="16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  <w:r w:rsidR="00F34D67" w:rsidRPr="00A36869">
              <w:t>Mesas de trabajo con la comisión edilicia de Educación, personal de Obras Públicas, personal de Patrimonio, personal de Sindicatura y personal de Participación Ciudadana.</w:t>
            </w:r>
            <w:r w:rsidR="003F5827" w:rsidRPr="00A36869">
              <w:t xml:space="preserve">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757189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F34D67" w:rsidRPr="00A36869" w:rsidRDefault="00F34D67" w:rsidP="00555EAC">
            <w:r w:rsidRPr="00A36869">
              <w:t xml:space="preserve">Objetivos del programa estratégico </w:t>
            </w:r>
          </w:p>
        </w:tc>
        <w:tc>
          <w:tcPr>
            <w:tcW w:w="3715" w:type="pct"/>
            <w:gridSpan w:val="7"/>
            <w:shd w:val="clear" w:color="auto" w:fill="FABF8F" w:themeFill="accent6" w:themeFillTint="99"/>
          </w:tcPr>
          <w:p w:rsidR="00F34D67" w:rsidRPr="00A36869" w:rsidRDefault="00F34D67" w:rsidP="00555EAC"/>
        </w:tc>
      </w:tr>
      <w:tr w:rsidR="00A36869" w:rsidRPr="00A36869" w:rsidTr="00757189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F34D67" w:rsidRPr="00A36869" w:rsidRDefault="00F34D67" w:rsidP="00555EAC">
            <w:r w:rsidRPr="00A36869">
              <w:t xml:space="preserve">Indicador del programa estratégico al que contribuye  </w:t>
            </w:r>
          </w:p>
        </w:tc>
        <w:tc>
          <w:tcPr>
            <w:tcW w:w="3715" w:type="pct"/>
            <w:gridSpan w:val="7"/>
            <w:shd w:val="clear" w:color="auto" w:fill="FABF8F" w:themeFill="accent6" w:themeFillTint="99"/>
          </w:tcPr>
          <w:p w:rsidR="00F34D67" w:rsidRPr="00A36869" w:rsidRDefault="00F34D67" w:rsidP="00555EAC"/>
        </w:tc>
      </w:tr>
      <w:tr w:rsidR="00A36869" w:rsidRPr="00A36869" w:rsidTr="00A06F3C"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F34D67" w:rsidRPr="00A36869" w:rsidRDefault="00F34D67" w:rsidP="00555EAC">
            <w:r w:rsidRPr="00A36869">
              <w:t xml:space="preserve">Beneficios </w:t>
            </w:r>
          </w:p>
        </w:tc>
        <w:tc>
          <w:tcPr>
            <w:tcW w:w="954" w:type="pct"/>
            <w:gridSpan w:val="2"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  <w:r w:rsidRPr="00A36869">
              <w:t>Corto Plazo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469" w:type="pct"/>
            <w:gridSpan w:val="3"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A06F3C">
        <w:tc>
          <w:tcPr>
            <w:tcW w:w="1285" w:type="pct"/>
            <w:vMerge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F34D67" w:rsidRPr="00A36869" w:rsidRDefault="003F5827" w:rsidP="00555EAC">
            <w:pPr>
              <w:jc w:val="center"/>
            </w:pPr>
            <w:r w:rsidRPr="00A36869">
              <w:t>X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F34D67" w:rsidRPr="00A36869" w:rsidRDefault="00F34D67" w:rsidP="00555EAC">
            <w:pPr>
              <w:jc w:val="center"/>
            </w:pPr>
          </w:p>
        </w:tc>
        <w:tc>
          <w:tcPr>
            <w:tcW w:w="1469" w:type="pct"/>
            <w:gridSpan w:val="3"/>
            <w:shd w:val="clear" w:color="auto" w:fill="auto"/>
          </w:tcPr>
          <w:p w:rsidR="00F34D67" w:rsidRPr="00A36869" w:rsidRDefault="00F34D67" w:rsidP="00555EAC">
            <w:pPr>
              <w:jc w:val="center"/>
            </w:pPr>
          </w:p>
        </w:tc>
      </w:tr>
      <w:tr w:rsidR="00A36869" w:rsidRPr="00A36869" w:rsidTr="00C43324">
        <w:trPr>
          <w:trHeight w:val="579"/>
        </w:trPr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F34D67" w:rsidRPr="00A36869" w:rsidRDefault="00F34D67" w:rsidP="00555EAC">
            <w:r w:rsidRPr="00A36869">
              <w:t xml:space="preserve">Nombre del Indicador </w:t>
            </w:r>
          </w:p>
        </w:tc>
        <w:tc>
          <w:tcPr>
            <w:tcW w:w="391" w:type="pct"/>
            <w:shd w:val="clear" w:color="auto" w:fill="A6A6A6" w:themeFill="background1" w:themeFillShade="A6"/>
          </w:tcPr>
          <w:p w:rsidR="00F34D67" w:rsidRPr="00A36869" w:rsidRDefault="00F34D67" w:rsidP="00555EAC">
            <w:pPr>
              <w:jc w:val="center"/>
              <w:rPr>
                <w:b/>
              </w:rPr>
            </w:pPr>
            <w:r w:rsidRPr="00A36869">
              <w:rPr>
                <w:b/>
                <w:sz w:val="18"/>
                <w:szCs w:val="18"/>
              </w:rPr>
              <w:t>Dimensión</w:t>
            </w:r>
            <w:r w:rsidRPr="00A36869">
              <w:rPr>
                <w:b/>
              </w:rPr>
              <w:t xml:space="preserve"> a medir </w:t>
            </w:r>
          </w:p>
        </w:tc>
        <w:tc>
          <w:tcPr>
            <w:tcW w:w="564" w:type="pct"/>
            <w:vMerge w:val="restart"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858" w:type="pct"/>
            <w:vMerge w:val="restart"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  <w:r w:rsidRPr="00A36869">
              <w:t>Métod</w:t>
            </w:r>
            <w:bookmarkStart w:id="0" w:name="_GoBack"/>
            <w:bookmarkEnd w:id="0"/>
            <w:r w:rsidRPr="00A36869">
              <w:t>o del calculo</w:t>
            </w:r>
          </w:p>
        </w:tc>
        <w:tc>
          <w:tcPr>
            <w:tcW w:w="433" w:type="pct"/>
            <w:vMerge w:val="restart"/>
            <w:shd w:val="clear" w:color="auto" w:fill="A6A6A6" w:themeFill="background1" w:themeFillShade="A6"/>
          </w:tcPr>
          <w:p w:rsidR="00F34D67" w:rsidRPr="00A36869" w:rsidRDefault="00F34D67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Unidad de medida</w:t>
            </w:r>
          </w:p>
        </w:tc>
        <w:tc>
          <w:tcPr>
            <w:tcW w:w="414" w:type="pct"/>
            <w:vMerge w:val="restart"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  <w:r w:rsidRPr="00A36869">
              <w:t xml:space="preserve">Frecuencia de medida 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  <w:r w:rsidRPr="00A36869">
              <w:t>Línea base</w:t>
            </w:r>
          </w:p>
        </w:tc>
        <w:tc>
          <w:tcPr>
            <w:tcW w:w="562" w:type="pct"/>
            <w:vMerge w:val="restart"/>
            <w:shd w:val="clear" w:color="auto" w:fill="A6A6A6" w:themeFill="background1" w:themeFillShade="A6"/>
          </w:tcPr>
          <w:p w:rsidR="00F34D67" w:rsidRPr="00A36869" w:rsidRDefault="00F34D67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C43324">
        <w:trPr>
          <w:trHeight w:val="405"/>
        </w:trPr>
        <w:tc>
          <w:tcPr>
            <w:tcW w:w="1285" w:type="pct"/>
            <w:vMerge/>
            <w:shd w:val="clear" w:color="auto" w:fill="D9D9D9" w:themeFill="background1" w:themeFillShade="D9"/>
          </w:tcPr>
          <w:p w:rsidR="00F34D67" w:rsidRPr="00A36869" w:rsidRDefault="00F34D67" w:rsidP="00555EAC"/>
        </w:tc>
        <w:tc>
          <w:tcPr>
            <w:tcW w:w="391" w:type="pct"/>
            <w:shd w:val="clear" w:color="auto" w:fill="A6A6A6" w:themeFill="background1" w:themeFillShade="A6"/>
          </w:tcPr>
          <w:p w:rsidR="00F34D67" w:rsidRPr="00A36869" w:rsidRDefault="00F34D67" w:rsidP="000B242D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F34D67" w:rsidRPr="00A36869" w:rsidRDefault="00F34D67" w:rsidP="000B242D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F34D67" w:rsidRPr="00A36869" w:rsidRDefault="00F34D67" w:rsidP="000B242D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Económica </w:t>
            </w:r>
          </w:p>
          <w:p w:rsidR="00F34D67" w:rsidRPr="00A36869" w:rsidRDefault="00F34D67" w:rsidP="000B242D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4" w:type="pct"/>
            <w:vMerge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</w:p>
        </w:tc>
        <w:tc>
          <w:tcPr>
            <w:tcW w:w="858" w:type="pct"/>
            <w:vMerge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</w:p>
        </w:tc>
        <w:tc>
          <w:tcPr>
            <w:tcW w:w="433" w:type="pct"/>
            <w:vMerge/>
            <w:shd w:val="clear" w:color="auto" w:fill="A6A6A6" w:themeFill="background1" w:themeFillShade="A6"/>
          </w:tcPr>
          <w:p w:rsidR="00F34D67" w:rsidRPr="00A36869" w:rsidRDefault="00F34D67" w:rsidP="00555EAC">
            <w:pPr>
              <w:jc w:val="center"/>
            </w:pPr>
          </w:p>
        </w:tc>
        <w:tc>
          <w:tcPr>
            <w:tcW w:w="414" w:type="pct"/>
            <w:vMerge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:rsidR="00F34D67" w:rsidRPr="00A36869" w:rsidRDefault="00F34D67" w:rsidP="00555EAC">
            <w:pPr>
              <w:jc w:val="center"/>
            </w:pPr>
          </w:p>
        </w:tc>
        <w:tc>
          <w:tcPr>
            <w:tcW w:w="562" w:type="pct"/>
            <w:vMerge/>
            <w:shd w:val="clear" w:color="auto" w:fill="A6A6A6" w:themeFill="background1" w:themeFillShade="A6"/>
          </w:tcPr>
          <w:p w:rsidR="00F34D67" w:rsidRPr="00A36869" w:rsidRDefault="00F34D67" w:rsidP="00555EAC">
            <w:pPr>
              <w:jc w:val="center"/>
            </w:pPr>
          </w:p>
        </w:tc>
      </w:tr>
      <w:tr w:rsidR="00A36869" w:rsidRPr="00A36869" w:rsidTr="00C43324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3F5827" w:rsidP="003F5827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>Porcentaje de avance en las  gestiones de asignación y aprobación de terrenos en comodato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8829CB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8829CB" w:rsidP="00C433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 xml:space="preserve">Saber con claridad en que colonias y cuantos terrenos serán aprobados en comodato para la construcción de planteles educativos en el municipio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D72EFC" w:rsidP="00A92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</w:t>
            </w:r>
            <w:r w:rsidR="00C43324" w:rsidRPr="00A36869">
              <w:rPr>
                <w:rFonts w:ascii="Calibri" w:hAnsi="Calibri" w:cs="Calibri"/>
                <w:sz w:val="18"/>
                <w:szCs w:val="18"/>
              </w:rPr>
              <w:t>N</w:t>
            </w:r>
            <w:r w:rsidR="008829CB" w:rsidRPr="00A36869">
              <w:rPr>
                <w:rFonts w:ascii="Calibri" w:hAnsi="Calibri" w:cs="Calibri"/>
                <w:sz w:val="18"/>
                <w:szCs w:val="18"/>
              </w:rPr>
              <w:t>º</w:t>
            </w:r>
            <w:r w:rsidR="00C43324" w:rsidRPr="00A36869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="00A9251B">
              <w:rPr>
                <w:rFonts w:ascii="Calibri" w:hAnsi="Calibri" w:cs="Calibri"/>
                <w:sz w:val="18"/>
                <w:szCs w:val="18"/>
              </w:rPr>
              <w:t xml:space="preserve">terrenos en comodato aprobados para la construcción de escuelas </w:t>
            </w:r>
            <w:r w:rsidR="008829CB" w:rsidRPr="00A36869">
              <w:rPr>
                <w:rFonts w:ascii="Calibri" w:hAnsi="Calibri" w:cs="Calibri"/>
                <w:sz w:val="18"/>
                <w:szCs w:val="18"/>
              </w:rPr>
              <w:t>p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royectos entregados aprobados </w:t>
            </w:r>
            <w:r w:rsidR="00C43324" w:rsidRPr="00A36869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Total de </w:t>
            </w:r>
            <w:r w:rsidR="00A9251B">
              <w:rPr>
                <w:rFonts w:ascii="Calibri" w:hAnsi="Calibri" w:cs="Calibri"/>
                <w:sz w:val="18"/>
                <w:szCs w:val="18"/>
              </w:rPr>
              <w:t>terrenos integrados en la propuesta para su gestión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)</w:t>
            </w:r>
            <w:r w:rsidR="00C43324" w:rsidRPr="00A36869">
              <w:rPr>
                <w:rFonts w:ascii="Calibri" w:hAnsi="Calibri" w:cs="Calibri"/>
                <w:sz w:val="18"/>
                <w:szCs w:val="18"/>
              </w:rPr>
              <w:t>*100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A9251B" w:rsidP="00555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C43324" w:rsidRPr="00A36869">
              <w:rPr>
                <w:rFonts w:ascii="Calibri" w:hAnsi="Calibri" w:cs="Calibri"/>
                <w:sz w:val="20"/>
                <w:szCs w:val="20"/>
              </w:rPr>
              <w:t>orcentaje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C43324" w:rsidP="00555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3324" w:rsidRPr="00A36869" w:rsidRDefault="00C43324" w:rsidP="00555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3324" w:rsidRPr="00A36869" w:rsidRDefault="00C43324" w:rsidP="00555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3324" w:rsidRPr="00A36869" w:rsidRDefault="00C43324" w:rsidP="00555E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  <w:p w:rsidR="00C43324" w:rsidRPr="00A36869" w:rsidRDefault="00C43324" w:rsidP="001649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324" w:rsidRPr="00A36869" w:rsidRDefault="00C43324" w:rsidP="001649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324" w:rsidRPr="00A36869" w:rsidRDefault="00C43324" w:rsidP="001649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324" w:rsidRPr="00A36869" w:rsidRDefault="00C43324" w:rsidP="001649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D72EFC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0</w:t>
            </w:r>
            <w:r w:rsidR="00747CF1">
              <w:rPr>
                <w:rFonts w:ascii="Calibri" w:hAnsi="Calibri" w:cs="Calibri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4" w:rsidRPr="00A36869" w:rsidRDefault="00747CF1" w:rsidP="00555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  <w:r w:rsidR="00D72EFC" w:rsidRPr="00A36869">
              <w:rPr>
                <w:rFonts w:ascii="Calibri" w:hAnsi="Calibri" w:cs="Calibri"/>
              </w:rPr>
              <w:t xml:space="preserve"> </w:t>
            </w:r>
          </w:p>
        </w:tc>
      </w:tr>
      <w:tr w:rsidR="00A36869" w:rsidRPr="00A36869" w:rsidTr="00C43324">
        <w:tc>
          <w:tcPr>
            <w:tcW w:w="2240" w:type="pct"/>
            <w:gridSpan w:val="3"/>
            <w:shd w:val="clear" w:color="auto" w:fill="D9D9D9" w:themeFill="background1" w:themeFillShade="D9"/>
          </w:tcPr>
          <w:p w:rsidR="00C43324" w:rsidRPr="00A36869" w:rsidRDefault="00C43324" w:rsidP="00555EAC">
            <w:r w:rsidRPr="00A36869">
              <w:t>Clave presupuestal determinada para seguimiento del gasto</w:t>
            </w:r>
          </w:p>
        </w:tc>
        <w:tc>
          <w:tcPr>
            <w:tcW w:w="2760" w:type="pct"/>
            <w:gridSpan w:val="5"/>
            <w:shd w:val="clear" w:color="auto" w:fill="FABF8F" w:themeFill="accent6" w:themeFillTint="99"/>
          </w:tcPr>
          <w:p w:rsidR="00C43324" w:rsidRPr="00A36869" w:rsidRDefault="00C43324" w:rsidP="00555EAC"/>
        </w:tc>
      </w:tr>
    </w:tbl>
    <w:p w:rsidR="00F34D67" w:rsidRPr="00A36869" w:rsidRDefault="00F34D67" w:rsidP="00F34D67"/>
    <w:p w:rsidR="00F34D67" w:rsidRPr="00A36869" w:rsidRDefault="00F34D67" w:rsidP="00F34D67"/>
    <w:p w:rsidR="00F34D67" w:rsidRPr="00A36869" w:rsidRDefault="00F34D67" w:rsidP="00F34D67"/>
    <w:p w:rsidR="00F34D67" w:rsidRPr="00A36869" w:rsidRDefault="00F34D67" w:rsidP="00F34D67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34D67" w:rsidRPr="00A36869" w:rsidRDefault="00F34D67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Planeación y diseño de mesas de trabajo.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Gestión y seguimientos.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F34D67" w:rsidRPr="00A36869" w:rsidRDefault="00F34D67" w:rsidP="008334B4">
      <w:pPr>
        <w:rPr>
          <w:i/>
          <w:sz w:val="16"/>
        </w:rPr>
      </w:pPr>
    </w:p>
    <w:sectPr w:rsidR="00F34D67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669C0"/>
    <w:rsid w:val="00281C62"/>
    <w:rsid w:val="00282501"/>
    <w:rsid w:val="00287419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760F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47CF1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26B32"/>
    <w:rsid w:val="008334B4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C1644"/>
    <w:rsid w:val="009E3DFA"/>
    <w:rsid w:val="009F67DC"/>
    <w:rsid w:val="00A06F3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251B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C5A"/>
    <w:rsid w:val="00E03DDC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61F30"/>
    <w:rsid w:val="00F62B11"/>
    <w:rsid w:val="00F73C46"/>
    <w:rsid w:val="00F93869"/>
    <w:rsid w:val="00FA2382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BE5436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3D60-2D6B-44B5-9957-2EF70766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7</cp:revision>
  <dcterms:created xsi:type="dcterms:W3CDTF">2019-01-28T21:06:00Z</dcterms:created>
  <dcterms:modified xsi:type="dcterms:W3CDTF">2019-01-30T19:44:00Z</dcterms:modified>
</cp:coreProperties>
</file>