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B41B37" w:rsidRPr="00C9304D" w:rsidRDefault="00B41B37" w:rsidP="00B41B37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6_Construcción, mejoramiento y ampliación de las instalaciones de la Comisaría.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911950" w:rsidP="003C6EB4">
            <w:pPr>
              <w:jc w:val="both"/>
            </w:pPr>
            <w:r w:rsidRPr="00C9304D">
              <w:t>M</w:t>
            </w:r>
            <w:r w:rsidR="007C5A9A" w:rsidRPr="00C9304D">
              <w:t>al</w:t>
            </w:r>
            <w:r w:rsidR="003D1642" w:rsidRPr="00C9304D">
              <w:t>as</w:t>
            </w:r>
            <w:r w:rsidRPr="00C9304D">
              <w:t xml:space="preserve"> </w:t>
            </w:r>
            <w:r w:rsidR="007C5A9A" w:rsidRPr="00C9304D">
              <w:t>condiciones de</w:t>
            </w:r>
            <w:r w:rsidRPr="00C9304D">
              <w:t>l</w:t>
            </w:r>
            <w:r w:rsidR="003C6EB4" w:rsidRPr="00C9304D">
              <w:t xml:space="preserve"> área de armería dentro de las</w:t>
            </w:r>
            <w:r w:rsidRPr="00C9304D">
              <w:t xml:space="preserve"> instalaciones de la Comisaría de la Policía Preventivas Municipal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7C5A9A" w:rsidP="003C6EB4">
            <w:pPr>
              <w:jc w:val="both"/>
            </w:pPr>
            <w:r w:rsidRPr="00C9304D">
              <w:t>Mejorar y mantener en</w:t>
            </w:r>
            <w:r w:rsidR="00911950" w:rsidRPr="00C9304D">
              <w:t xml:space="preserve"> óptimas condiciones</w:t>
            </w:r>
            <w:r w:rsidR="003C6EB4" w:rsidRPr="00C9304D">
              <w:t xml:space="preserve"> de uso el área de armería </w:t>
            </w:r>
            <w:r w:rsidR="00911950" w:rsidRPr="00C9304D">
              <w:t>que conforma</w:t>
            </w:r>
            <w:r w:rsidR="003C6EB4" w:rsidRPr="00C9304D">
              <w:t xml:space="preserve"> parte esencial de</w:t>
            </w:r>
            <w:r w:rsidR="00911950" w:rsidRPr="00C9304D">
              <w:t xml:space="preserve"> la Comisaría de la Policía Preventiva Municipal de San Pedro Tlaquepaque</w:t>
            </w:r>
            <w:r w:rsidRPr="00C9304D">
              <w:t xml:space="preserve">, </w:t>
            </w:r>
            <w:r w:rsidR="003C6EB4" w:rsidRPr="00C9304D">
              <w:t>que incremente las condiciones de seguridad al interior de las instalaciones</w:t>
            </w:r>
            <w:r w:rsidR="00911950" w:rsidRPr="00C9304D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855E99">
        <w:tc>
          <w:tcPr>
            <w:tcW w:w="105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1D7895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855E99">
        <w:tc>
          <w:tcPr>
            <w:tcW w:w="2970" w:type="dxa"/>
            <w:gridSpan w:val="3"/>
            <w:shd w:val="clear" w:color="auto" w:fill="FFFFFF" w:themeFill="background1"/>
          </w:tcPr>
          <w:p w:rsidR="001D7895" w:rsidRPr="00C9304D" w:rsidRDefault="001D7895" w:rsidP="001D7895">
            <w:pPr>
              <w:jc w:val="center"/>
            </w:pPr>
            <w:r w:rsidRPr="00C9304D">
              <w:t>$3,000,000.00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1D7895" w:rsidRPr="00C9304D" w:rsidRDefault="001D7895" w:rsidP="001D7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</w:pPr>
            <w:r w:rsidRPr="00C9304D"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1D7895" w:rsidRPr="00C9304D" w:rsidRDefault="001D7895" w:rsidP="001D7895">
            <w:pPr>
              <w:jc w:val="center"/>
            </w:pPr>
          </w:p>
        </w:tc>
      </w:tr>
    </w:tbl>
    <w:p w:rsidR="00B41B37" w:rsidRPr="00C9304D" w:rsidRDefault="00B41B37" w:rsidP="00B41B37">
      <w:r w:rsidRPr="00C9304D">
        <w:br w:type="page"/>
      </w:r>
    </w:p>
    <w:p w:rsidR="00B41B37" w:rsidRPr="00C9304D" w:rsidRDefault="00B41B37" w:rsidP="00B41B37"/>
    <w:p w:rsidR="00B41B37" w:rsidRPr="00C9304D" w:rsidRDefault="00B41B37" w:rsidP="00B41B37">
      <w:pPr>
        <w:rPr>
          <w:b/>
        </w:rPr>
      </w:pPr>
    </w:p>
    <w:p w:rsidR="00B41B37" w:rsidRPr="00C9304D" w:rsidRDefault="00B41B37" w:rsidP="00B41B37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3302"/>
        <w:gridCol w:w="90"/>
        <w:gridCol w:w="1228"/>
        <w:gridCol w:w="1050"/>
        <w:gridCol w:w="250"/>
        <w:gridCol w:w="853"/>
        <w:gridCol w:w="1273"/>
        <w:gridCol w:w="1417"/>
        <w:gridCol w:w="85"/>
        <w:gridCol w:w="904"/>
        <w:gridCol w:w="1281"/>
        <w:gridCol w:w="1558"/>
      </w:tblGrid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B41B37" w:rsidRPr="00C9304D" w:rsidRDefault="00B41B37" w:rsidP="00BA7014">
            <w:r w:rsidRPr="00C9304D">
              <w:t xml:space="preserve">Principal producto esperado (base para el establecimiento de metas) 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B41B37" w:rsidRPr="00C9304D" w:rsidRDefault="00801C2E" w:rsidP="00801C2E">
            <w:r w:rsidRPr="00C9304D">
              <w:t>Mejoramiento de las instalaciones del edificio que ocupan el área de armería.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B41B37" w:rsidRPr="00C9304D" w:rsidRDefault="00B41B37" w:rsidP="00BA7014">
            <w:r w:rsidRPr="00C9304D">
              <w:t>Actividades a realizar para la obtención del producto esperado</w:t>
            </w:r>
          </w:p>
        </w:tc>
        <w:tc>
          <w:tcPr>
            <w:tcW w:w="3724" w:type="pct"/>
            <w:gridSpan w:val="10"/>
            <w:shd w:val="clear" w:color="auto" w:fill="auto"/>
          </w:tcPr>
          <w:p w:rsidR="00B41B37" w:rsidRPr="00C9304D" w:rsidRDefault="002B100A" w:rsidP="002B100A">
            <w:pPr>
              <w:jc w:val="both"/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801C2E" w:rsidRPr="00C9304D">
              <w:t>Llevar a cabo las gestiones necesarias para la construcción, mejoramiento y ampliación de las instalaciones de la Comisaría de la Policía Preventiva Municipal de San Pedro Tlaquepaque</w:t>
            </w:r>
            <w:r w:rsidR="00B41B37" w:rsidRPr="00C9304D">
              <w:t>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B41B37" w:rsidRPr="00C9304D" w:rsidRDefault="00B41B37" w:rsidP="00BA7014">
            <w:r w:rsidRPr="00C9304D">
              <w:t xml:space="preserve">Objetivos del programa estratégico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B41B37" w:rsidRPr="00C9304D" w:rsidRDefault="00B41B37" w:rsidP="00BA7014"/>
        </w:tc>
      </w:tr>
      <w:tr w:rsidR="00C9304D" w:rsidRPr="00C9304D" w:rsidTr="00E75C93">
        <w:trPr>
          <w:trHeight w:val="547"/>
        </w:trPr>
        <w:tc>
          <w:tcPr>
            <w:tcW w:w="1276" w:type="pct"/>
            <w:gridSpan w:val="2"/>
            <w:shd w:val="clear" w:color="auto" w:fill="D9D9D9" w:themeFill="background1" w:themeFillShade="D9"/>
          </w:tcPr>
          <w:p w:rsidR="00B41B37" w:rsidRPr="00C9304D" w:rsidRDefault="00B41B37" w:rsidP="00BA7014">
            <w:r w:rsidRPr="00C9304D">
              <w:t xml:space="preserve">Indicador del programa estratégico al que contribuye  </w:t>
            </w:r>
          </w:p>
        </w:tc>
        <w:tc>
          <w:tcPr>
            <w:tcW w:w="3724" w:type="pct"/>
            <w:gridSpan w:val="10"/>
            <w:shd w:val="clear" w:color="auto" w:fill="FABF8F" w:themeFill="accent6" w:themeFillTint="99"/>
          </w:tcPr>
          <w:p w:rsidR="00B41B37" w:rsidRPr="00C9304D" w:rsidRDefault="00B41B37" w:rsidP="00BA7014"/>
        </w:tc>
      </w:tr>
      <w:tr w:rsidR="00C9304D" w:rsidRPr="00C9304D" w:rsidTr="00E75C93">
        <w:tc>
          <w:tcPr>
            <w:tcW w:w="1276" w:type="pct"/>
            <w:gridSpan w:val="2"/>
            <w:vMerge w:val="restart"/>
            <w:shd w:val="clear" w:color="auto" w:fill="D9D9D9" w:themeFill="background1" w:themeFillShade="D9"/>
          </w:tcPr>
          <w:p w:rsidR="00B41B37" w:rsidRPr="00C9304D" w:rsidRDefault="00B41B37" w:rsidP="00BA7014">
            <w:r w:rsidRPr="00C9304D">
              <w:t xml:space="preserve">Beneficios </w:t>
            </w:r>
          </w:p>
        </w:tc>
        <w:tc>
          <w:tcPr>
            <w:tcW w:w="857" w:type="pct"/>
            <w:gridSpan w:val="2"/>
            <w:shd w:val="clear" w:color="auto" w:fill="D9D9D9" w:themeFill="background1" w:themeFillShade="D9"/>
          </w:tcPr>
          <w:p w:rsidR="00B41B37" w:rsidRPr="00C9304D" w:rsidRDefault="00B41B37" w:rsidP="00BA7014">
            <w:pPr>
              <w:jc w:val="center"/>
            </w:pPr>
            <w:r w:rsidRPr="00C9304D">
              <w:t>Corto Plazo</w:t>
            </w:r>
          </w:p>
        </w:tc>
        <w:tc>
          <w:tcPr>
            <w:tcW w:w="1459" w:type="pct"/>
            <w:gridSpan w:val="5"/>
            <w:shd w:val="clear" w:color="auto" w:fill="D9D9D9" w:themeFill="background1" w:themeFillShade="D9"/>
          </w:tcPr>
          <w:p w:rsidR="00B41B37" w:rsidRPr="00C9304D" w:rsidRDefault="00B41B37" w:rsidP="00BA7014">
            <w:pPr>
              <w:jc w:val="center"/>
            </w:pPr>
            <w:r w:rsidRPr="00C9304D">
              <w:t>Mediano Plazo</w:t>
            </w:r>
          </w:p>
        </w:tc>
        <w:tc>
          <w:tcPr>
            <w:tcW w:w="1408" w:type="pct"/>
            <w:gridSpan w:val="3"/>
            <w:shd w:val="clear" w:color="auto" w:fill="D9D9D9" w:themeFill="background1" w:themeFillShade="D9"/>
          </w:tcPr>
          <w:p w:rsidR="00B41B37" w:rsidRPr="00C9304D" w:rsidRDefault="00B41B37" w:rsidP="00BA701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E75C93">
        <w:tc>
          <w:tcPr>
            <w:tcW w:w="1276" w:type="pct"/>
            <w:gridSpan w:val="2"/>
            <w:vMerge/>
            <w:shd w:val="clear" w:color="auto" w:fill="D9D9D9" w:themeFill="background1" w:themeFillShade="D9"/>
          </w:tcPr>
          <w:p w:rsidR="00B41B37" w:rsidRPr="00C9304D" w:rsidRDefault="00B41B37" w:rsidP="00BA7014">
            <w:pPr>
              <w:jc w:val="center"/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B41B37" w:rsidRPr="00C9304D" w:rsidRDefault="00B41B37" w:rsidP="00BA7014">
            <w:pPr>
              <w:jc w:val="center"/>
            </w:pPr>
          </w:p>
        </w:tc>
        <w:tc>
          <w:tcPr>
            <w:tcW w:w="1459" w:type="pct"/>
            <w:gridSpan w:val="5"/>
            <w:shd w:val="clear" w:color="auto" w:fill="auto"/>
          </w:tcPr>
          <w:p w:rsidR="00B41B37" w:rsidRPr="00C9304D" w:rsidRDefault="00B41B37" w:rsidP="00BA7014">
            <w:pPr>
              <w:jc w:val="center"/>
            </w:pPr>
            <w:r w:rsidRPr="00C9304D">
              <w:t>X</w:t>
            </w:r>
          </w:p>
        </w:tc>
        <w:tc>
          <w:tcPr>
            <w:tcW w:w="1408" w:type="pct"/>
            <w:gridSpan w:val="3"/>
            <w:shd w:val="clear" w:color="auto" w:fill="auto"/>
          </w:tcPr>
          <w:p w:rsidR="00B41B37" w:rsidRPr="00C9304D" w:rsidRDefault="00B41B37" w:rsidP="00BA7014">
            <w:pPr>
              <w:jc w:val="center"/>
            </w:pPr>
          </w:p>
        </w:tc>
      </w:tr>
      <w:tr w:rsidR="00C9304D" w:rsidRPr="00C9304D" w:rsidTr="000F66F6">
        <w:trPr>
          <w:trHeight w:val="579"/>
        </w:trPr>
        <w:tc>
          <w:tcPr>
            <w:tcW w:w="1242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r w:rsidRPr="00C9304D">
              <w:t xml:space="preserve">Nombre del Indicador </w:t>
            </w:r>
          </w:p>
        </w:tc>
        <w:tc>
          <w:tcPr>
            <w:tcW w:w="496" w:type="pct"/>
            <w:gridSpan w:val="2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89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800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Método del calculo</w:t>
            </w:r>
          </w:p>
        </w:tc>
        <w:tc>
          <w:tcPr>
            <w:tcW w:w="533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372" w:type="pct"/>
            <w:gridSpan w:val="2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  <w:r w:rsidRPr="00C9304D">
              <w:t>Línea base</w:t>
            </w:r>
          </w:p>
        </w:tc>
        <w:tc>
          <w:tcPr>
            <w:tcW w:w="586" w:type="pct"/>
            <w:vMerge w:val="restart"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0F66F6">
        <w:trPr>
          <w:trHeight w:val="405"/>
        </w:trPr>
        <w:tc>
          <w:tcPr>
            <w:tcW w:w="1242" w:type="pct"/>
            <w:vMerge/>
            <w:shd w:val="clear" w:color="auto" w:fill="D9D9D9" w:themeFill="background1" w:themeFillShade="D9"/>
          </w:tcPr>
          <w:p w:rsidR="00E75C93" w:rsidRPr="00C9304D" w:rsidRDefault="00E75C93" w:rsidP="004550A0"/>
        </w:tc>
        <w:tc>
          <w:tcPr>
            <w:tcW w:w="496" w:type="pct"/>
            <w:gridSpan w:val="2"/>
            <w:shd w:val="clear" w:color="auto" w:fill="A6A6A6" w:themeFill="background1" w:themeFillShade="A6"/>
          </w:tcPr>
          <w:p w:rsidR="00E75C93" w:rsidRPr="00C9304D" w:rsidRDefault="00E75C93" w:rsidP="006C670C">
            <w:pPr>
              <w:pStyle w:val="Prrafodelista"/>
              <w:numPr>
                <w:ilvl w:val="0"/>
                <w:numId w:val="19"/>
              </w:numPr>
              <w:ind w:left="242" w:hanging="283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E75C93" w:rsidRPr="00C9304D" w:rsidRDefault="00E75C93" w:rsidP="006C670C">
            <w:pPr>
              <w:pStyle w:val="Prrafodelista"/>
              <w:numPr>
                <w:ilvl w:val="0"/>
                <w:numId w:val="19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E75C93" w:rsidRPr="00C9304D" w:rsidRDefault="00E75C93" w:rsidP="006C670C">
            <w:pPr>
              <w:pStyle w:val="Prrafodelista"/>
              <w:numPr>
                <w:ilvl w:val="0"/>
                <w:numId w:val="19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E75C93" w:rsidRPr="00C9304D" w:rsidRDefault="00E75C93" w:rsidP="006C670C">
            <w:pPr>
              <w:pStyle w:val="Prrafodelista"/>
              <w:numPr>
                <w:ilvl w:val="0"/>
                <w:numId w:val="19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9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800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33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372" w:type="pct"/>
            <w:gridSpan w:val="2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482" w:type="pct"/>
            <w:vMerge/>
            <w:shd w:val="clear" w:color="auto" w:fill="D9D9D9" w:themeFill="background1" w:themeFillShade="D9"/>
          </w:tcPr>
          <w:p w:rsidR="00E75C93" w:rsidRPr="00C9304D" w:rsidRDefault="00E75C93" w:rsidP="004550A0">
            <w:pPr>
              <w:jc w:val="center"/>
            </w:pPr>
          </w:p>
        </w:tc>
        <w:tc>
          <w:tcPr>
            <w:tcW w:w="586" w:type="pct"/>
            <w:vMerge/>
            <w:shd w:val="clear" w:color="auto" w:fill="A6A6A6" w:themeFill="background1" w:themeFillShade="A6"/>
          </w:tcPr>
          <w:p w:rsidR="00E75C93" w:rsidRPr="00C9304D" w:rsidRDefault="00E75C93" w:rsidP="004550A0">
            <w:pPr>
              <w:jc w:val="center"/>
            </w:pPr>
          </w:p>
        </w:tc>
      </w:tr>
      <w:tr w:rsidR="00C9304D" w:rsidRPr="00C9304D" w:rsidTr="000F66F6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0F66F6" w:rsidP="000F66F6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 xml:space="preserve">Porcentaje de construcción, mejoramiento y ampliación de las instalaciones </w:t>
            </w:r>
            <w:r w:rsidR="0021311E" w:rsidRPr="00C9304D">
              <w:t xml:space="preserve">y área de armería </w:t>
            </w:r>
            <w:r w:rsidRPr="00C9304D">
              <w:t>de la Comisaría.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0F66F6" w:rsidP="000F66F6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3F7415" w:rsidP="003F7415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Á</w:t>
            </w:r>
            <w:r w:rsidR="0021311E" w:rsidRPr="00C9304D">
              <w:rPr>
                <w:sz w:val="18"/>
                <w:szCs w:val="18"/>
              </w:rPr>
              <w:t>rea de armería</w:t>
            </w:r>
            <w:r w:rsidR="0021311E" w:rsidRPr="00C9304D">
              <w:t xml:space="preserve"> </w:t>
            </w:r>
            <w:r w:rsidRPr="00C9304D">
              <w:rPr>
                <w:sz w:val="18"/>
                <w:szCs w:val="18"/>
              </w:rPr>
              <w:t>de la Comisaría reconstruida, mejorada y ampliada.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1D0714" w:rsidP="00B819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(</w:t>
            </w:r>
            <w:r w:rsidR="008036BB" w:rsidRPr="00C9304D">
              <w:rPr>
                <w:rFonts w:ascii="Calibri" w:hAnsi="Calibri" w:cs="Calibri"/>
                <w:sz w:val="18"/>
                <w:szCs w:val="18"/>
              </w:rPr>
              <w:t xml:space="preserve">Porcentaje de avance </w:t>
            </w:r>
            <w:r w:rsidR="00B8190B" w:rsidRPr="00C9304D">
              <w:rPr>
                <w:rFonts w:ascii="Calibri" w:hAnsi="Calibri" w:cs="Calibri"/>
                <w:sz w:val="18"/>
                <w:szCs w:val="18"/>
              </w:rPr>
              <w:t xml:space="preserve">físico </w:t>
            </w:r>
            <w:r w:rsidR="008036BB" w:rsidRPr="00C9304D">
              <w:rPr>
                <w:rFonts w:ascii="Calibri" w:hAnsi="Calibri" w:cs="Calibri"/>
                <w:sz w:val="18"/>
                <w:szCs w:val="18"/>
              </w:rPr>
              <w:t>financier</w:t>
            </w:r>
            <w:r w:rsidR="00B8190B" w:rsidRPr="00C9304D">
              <w:rPr>
                <w:rFonts w:ascii="Calibri" w:hAnsi="Calibri" w:cs="Calibri"/>
                <w:sz w:val="18"/>
                <w:szCs w:val="18"/>
              </w:rPr>
              <w:t>o</w:t>
            </w:r>
            <w:r w:rsidR="008036BB" w:rsidRPr="00C9304D">
              <w:rPr>
                <w:rFonts w:ascii="Calibri" w:hAnsi="Calibri" w:cs="Calibri"/>
                <w:sz w:val="18"/>
                <w:szCs w:val="18"/>
              </w:rPr>
              <w:t xml:space="preserve"> de la </w:t>
            </w:r>
            <w:r w:rsidR="008036BB" w:rsidRPr="00C9304D">
              <w:rPr>
                <w:sz w:val="18"/>
                <w:szCs w:val="18"/>
              </w:rPr>
              <w:t>construcción, mejoramiento y ampliación de las instalaciones y área de armería de la Comisaría/$3,000,000.00 de pesos gestionados en este rubro</w:t>
            </w:r>
            <w:r w:rsidRPr="00C9304D">
              <w:rPr>
                <w:sz w:val="18"/>
                <w:szCs w:val="18"/>
              </w:rPr>
              <w:t>)</w:t>
            </w:r>
            <w:r w:rsidR="008036BB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0F66F6" w:rsidP="000F66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 xml:space="preserve">Proyecto de construcción, mejoramiento y ampliación de las instalaciones </w:t>
            </w:r>
            <w:r w:rsidR="0021311E" w:rsidRPr="00C9304D">
              <w:rPr>
                <w:sz w:val="18"/>
                <w:szCs w:val="18"/>
              </w:rPr>
              <w:t>y área de armería</w:t>
            </w:r>
            <w:r w:rsidR="0021311E" w:rsidRPr="00C9304D">
              <w:t xml:space="preserve"> </w:t>
            </w:r>
            <w:r w:rsidRPr="00C9304D">
              <w:rPr>
                <w:sz w:val="18"/>
                <w:szCs w:val="18"/>
              </w:rPr>
              <w:t>de la Comisaría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0F66F6" w:rsidP="000F66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0F66F6" w:rsidP="000F66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0 Proyectos de construcción, mejoramiento y ampliación de las instalaciones</w:t>
            </w:r>
            <w:r w:rsidR="0021311E" w:rsidRPr="00C9304D">
              <w:rPr>
                <w:sz w:val="18"/>
                <w:szCs w:val="18"/>
              </w:rPr>
              <w:t xml:space="preserve"> </w:t>
            </w:r>
            <w:r w:rsidRPr="00C9304D">
              <w:rPr>
                <w:sz w:val="18"/>
                <w:szCs w:val="18"/>
              </w:rPr>
              <w:t xml:space="preserve"> </w:t>
            </w:r>
            <w:r w:rsidR="0021311E" w:rsidRPr="00C9304D">
              <w:rPr>
                <w:sz w:val="18"/>
                <w:szCs w:val="18"/>
              </w:rPr>
              <w:t>y área de armería</w:t>
            </w:r>
            <w:r w:rsidR="0021311E" w:rsidRPr="00C9304D">
              <w:t xml:space="preserve"> </w:t>
            </w:r>
            <w:r w:rsidRPr="00C9304D">
              <w:rPr>
                <w:sz w:val="18"/>
                <w:szCs w:val="18"/>
              </w:rPr>
              <w:t>de la Comisaría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F6" w:rsidRPr="00C9304D" w:rsidRDefault="000F66F6" w:rsidP="000F66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sz w:val="18"/>
                <w:szCs w:val="18"/>
              </w:rPr>
              <w:t>1 Proyecto de construcción, mejoramiento y ampliación</w:t>
            </w:r>
            <w:r w:rsidR="0021311E" w:rsidRPr="00C9304D">
              <w:rPr>
                <w:sz w:val="18"/>
                <w:szCs w:val="18"/>
              </w:rPr>
              <w:t xml:space="preserve"> y área de armería </w:t>
            </w:r>
            <w:r w:rsidRPr="00C9304D">
              <w:rPr>
                <w:sz w:val="18"/>
                <w:szCs w:val="18"/>
              </w:rPr>
              <w:t xml:space="preserve"> de las instalaciones de la Comisaría</w:t>
            </w:r>
          </w:p>
        </w:tc>
      </w:tr>
      <w:tr w:rsidR="00C9304D" w:rsidRPr="00C9304D" w:rsidTr="00E75C93">
        <w:tc>
          <w:tcPr>
            <w:tcW w:w="2548" w:type="pct"/>
            <w:gridSpan w:val="6"/>
            <w:shd w:val="clear" w:color="auto" w:fill="D9D9D9" w:themeFill="background1" w:themeFillShade="D9"/>
          </w:tcPr>
          <w:p w:rsidR="000F66F6" w:rsidRPr="00C9304D" w:rsidRDefault="000F66F6" w:rsidP="000F66F6">
            <w:r w:rsidRPr="00C9304D">
              <w:t>Clave presupuestal determinada para seguimiento del gasto.</w:t>
            </w:r>
          </w:p>
        </w:tc>
        <w:tc>
          <w:tcPr>
            <w:tcW w:w="2452" w:type="pct"/>
            <w:gridSpan w:val="6"/>
            <w:shd w:val="clear" w:color="auto" w:fill="FABF8F" w:themeFill="accent6" w:themeFillTint="99"/>
          </w:tcPr>
          <w:p w:rsidR="000F66F6" w:rsidRPr="00C9304D" w:rsidRDefault="000F66F6" w:rsidP="000F66F6"/>
        </w:tc>
      </w:tr>
    </w:tbl>
    <w:p w:rsidR="00B41B37" w:rsidRPr="00C9304D" w:rsidRDefault="00B41B37" w:rsidP="00B41B37"/>
    <w:p w:rsidR="00B41B37" w:rsidRPr="00C9304D" w:rsidRDefault="00B41B37" w:rsidP="00B41B37"/>
    <w:p w:rsidR="00B41B37" w:rsidRPr="00C9304D" w:rsidRDefault="00B41B37" w:rsidP="00B41B37"/>
    <w:p w:rsidR="00B41B37" w:rsidRPr="00C9304D" w:rsidRDefault="00B41B37" w:rsidP="00B41B37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BA70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BA70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41B37" w:rsidRPr="00C9304D" w:rsidRDefault="00B41B37" w:rsidP="00BA701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41B37" w:rsidRPr="00C9304D" w:rsidRDefault="00B41B37" w:rsidP="00BA70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41B37" w:rsidRPr="00C9304D" w:rsidRDefault="00B41B37" w:rsidP="00BA701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C9304D" w:rsidRDefault="006C5EE7" w:rsidP="006C5EE7">
            <w:pPr>
              <w:jc w:val="both"/>
            </w:pPr>
            <w:r w:rsidRPr="00C9304D"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C9304D" w:rsidRDefault="006C5EE7" w:rsidP="006C5EE7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B41B37" w:rsidRPr="00C9304D" w:rsidRDefault="004D2B2D" w:rsidP="00BA7014">
            <w:r w:rsidRPr="00C9304D">
              <w:t>Identificación de las necesidades de mejora y ampliación de las instalaciones de la Comisaría de la Policía Preventiva Municipal de San Pedro Tlaquepaque.</w:t>
            </w:r>
          </w:p>
        </w:tc>
        <w:tc>
          <w:tcPr>
            <w:tcW w:w="259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B41B37" w:rsidRPr="00C9304D" w:rsidRDefault="004D2B2D" w:rsidP="00BA7014">
            <w:r w:rsidRPr="00C9304D">
              <w:t xml:space="preserve">Elaboración del proyecto ejecutivo de ejecución de obra para el óptimo funcionamiento de la Comisaría. </w:t>
            </w:r>
          </w:p>
        </w:tc>
        <w:tc>
          <w:tcPr>
            <w:tcW w:w="259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B41B37" w:rsidRPr="00C9304D" w:rsidRDefault="004D2B2D" w:rsidP="00BA7014">
            <w:pPr>
              <w:jc w:val="both"/>
            </w:pPr>
            <w:r w:rsidRPr="00C9304D">
              <w:t>Autorización del proyecto de obra de construcción, mejoramiento y ampliación de las instalaciones de la Comisaría de la Policía Preventiva Municipal de San Pedro Tlaquepaque.</w:t>
            </w:r>
          </w:p>
        </w:tc>
        <w:tc>
          <w:tcPr>
            <w:tcW w:w="259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</w:tr>
      <w:tr w:rsidR="00C9304D" w:rsidRPr="00C9304D" w:rsidTr="00BA7014">
        <w:trPr>
          <w:trHeight w:val="57"/>
        </w:trPr>
        <w:tc>
          <w:tcPr>
            <w:tcW w:w="1808" w:type="pct"/>
            <w:shd w:val="clear" w:color="auto" w:fill="auto"/>
          </w:tcPr>
          <w:p w:rsidR="00B41B37" w:rsidRPr="00C9304D" w:rsidRDefault="004D2B2D" w:rsidP="004D2B2D">
            <w:pPr>
              <w:jc w:val="both"/>
            </w:pPr>
            <w:r w:rsidRPr="00C9304D">
              <w:t>Ejecución de las obras de construcción, mejoramiento y ampliación de las instalaciones de la Comisaría de la Policía Preventiva Municipal de San Pedro Tlaquepaque.</w:t>
            </w:r>
          </w:p>
        </w:tc>
        <w:tc>
          <w:tcPr>
            <w:tcW w:w="259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41B37" w:rsidRPr="00C9304D" w:rsidRDefault="00B41B37" w:rsidP="00BA701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41B37" w:rsidRPr="00C9304D" w:rsidRDefault="004D2B2D" w:rsidP="00BA701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C9304D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6B66BE">
        <w:trPr>
          <w:trHeight w:val="57"/>
        </w:trPr>
        <w:tc>
          <w:tcPr>
            <w:tcW w:w="1808" w:type="pct"/>
          </w:tcPr>
          <w:p w:rsidR="006B66BE" w:rsidRPr="00C9304D" w:rsidRDefault="006B66BE" w:rsidP="004550A0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6B66BE" w:rsidRPr="00C9304D" w:rsidRDefault="006B66BE" w:rsidP="004550A0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942C96" w:rsidRPr="00C9304D" w:rsidRDefault="00942C96" w:rsidP="00743746">
      <w:pPr>
        <w:rPr>
          <w:i/>
          <w:sz w:val="16"/>
        </w:rPr>
      </w:pPr>
      <w:bookmarkStart w:id="0" w:name="_GoBack"/>
      <w:bookmarkEnd w:id="0"/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13229"/>
    <w:rsid w:val="00613CE2"/>
    <w:rsid w:val="00625C1E"/>
    <w:rsid w:val="0064097F"/>
    <w:rsid w:val="0064131F"/>
    <w:rsid w:val="00642DAA"/>
    <w:rsid w:val="006560DD"/>
    <w:rsid w:val="00661242"/>
    <w:rsid w:val="0066726B"/>
    <w:rsid w:val="0066796F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374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58E-A1DC-420D-B210-F2CF361A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cp:lastPrinted>2018-10-22T16:39:00Z</cp:lastPrinted>
  <dcterms:created xsi:type="dcterms:W3CDTF">2019-01-29T19:58:00Z</dcterms:created>
  <dcterms:modified xsi:type="dcterms:W3CDTF">2019-01-29T20:07:00Z</dcterms:modified>
</cp:coreProperties>
</file>