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F0" w:rsidRPr="00241E6F" w:rsidRDefault="00BA44F0" w:rsidP="00BA44F0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41E6F">
        <w:rPr>
          <w:rFonts w:ascii="Arial" w:hAnsi="Arial" w:cs="Arial"/>
          <w:sz w:val="24"/>
          <w:szCs w:val="24"/>
        </w:rPr>
        <w:t>Conforme al artículo 8 fracción VI inciso h) agenda diaria de actividades del sujeto obligado, de cuando menos el último mes.</w:t>
      </w:r>
    </w:p>
    <w:p w:rsidR="00BA44F0" w:rsidRPr="00241E6F" w:rsidRDefault="00BA44F0" w:rsidP="00BA44F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A44F0" w:rsidRPr="00241E6F" w:rsidRDefault="00BA44F0" w:rsidP="00BA44F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 01 al 30</w:t>
      </w:r>
      <w:r w:rsidRPr="00241E6F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 xml:space="preserve">abril del 2021. </w:t>
      </w:r>
    </w:p>
    <w:p w:rsidR="00BA44F0" w:rsidRPr="00B300E2" w:rsidRDefault="00BA44F0" w:rsidP="00BA44F0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8019"/>
      </w:tblGrid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 xml:space="preserve">DIA </w:t>
            </w:r>
          </w:p>
        </w:tc>
        <w:tc>
          <w:tcPr>
            <w:tcW w:w="801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ACTIVIDADES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019" w:type="dxa"/>
          </w:tcPr>
          <w:p w:rsidR="00BA44F0" w:rsidRPr="00241E6F" w:rsidRDefault="00D73D4E" w:rsidP="00BA44F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19" w:type="dxa"/>
          </w:tcPr>
          <w:p w:rsidR="00BA44F0" w:rsidRPr="00241E6F" w:rsidRDefault="00BA44F0" w:rsidP="00BA44F0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019" w:type="dxa"/>
          </w:tcPr>
          <w:p w:rsidR="00D73D4E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EE698A">
        <w:trPr>
          <w:trHeight w:val="188"/>
        </w:trPr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019" w:type="dxa"/>
          </w:tcPr>
          <w:p w:rsidR="00BA44F0" w:rsidRPr="00241E6F" w:rsidRDefault="00D73D4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Vacaciones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019" w:type="dxa"/>
          </w:tcPr>
          <w:p w:rsidR="00BA44F0" w:rsidRPr="00241E6F" w:rsidRDefault="00EE698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en oficina.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019" w:type="dxa"/>
          </w:tcPr>
          <w:p w:rsidR="00BA44F0" w:rsidRPr="00241E6F" w:rsidRDefault="00246AC3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Sandra Vidal Méndez del comité de regularización del polígono Zapote II. 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019" w:type="dxa"/>
          </w:tcPr>
          <w:p w:rsidR="00BA44F0" w:rsidRPr="00241E6F" w:rsidRDefault="00EE698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en oficina.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019" w:type="dxa"/>
          </w:tcPr>
          <w:p w:rsidR="00BA44F0" w:rsidRPr="00241E6F" w:rsidRDefault="00EE698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Sábado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019" w:type="dxa"/>
          </w:tcPr>
          <w:p w:rsidR="00BA44F0" w:rsidRPr="00241E6F" w:rsidRDefault="00EE698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Domingo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019" w:type="dxa"/>
          </w:tcPr>
          <w:p w:rsidR="00BA44F0" w:rsidRPr="00241E6F" w:rsidRDefault="00F95D48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realizó recorrido de supervisión de obra en la colonia Buenos Aires con la presidenta municipal Interina.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019" w:type="dxa"/>
          </w:tcPr>
          <w:p w:rsidR="00BA44F0" w:rsidRPr="000B5335" w:rsidRDefault="00246AC3" w:rsidP="00246AC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Ana Lilia Soto Cota de la colonia Huerta de Peña, se atendió a Jorge Alberto presidente del comité por causa del mercado Salvador Orozco Loreto de la colonia Nueva Santa María. </w:t>
            </w:r>
            <w:r w:rsidR="00F95D48">
              <w:rPr>
                <w:rFonts w:ascii="Arial" w:hAnsi="Arial" w:cs="Arial"/>
                <w:sz w:val="20"/>
                <w:szCs w:val="20"/>
              </w:rPr>
              <w:t>Se realizó recorrido de obra en el Fraccionamiento Parques de la Victoria con la presidenta municipal Interina.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019" w:type="dxa"/>
          </w:tcPr>
          <w:p w:rsidR="00BA44F0" w:rsidRPr="00241E6F" w:rsidRDefault="00F95D48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Elección del comité por causa del polígono denominado Rincón de la Cofradía, propiedad municipal de la colonia la Cofradía.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019" w:type="dxa"/>
          </w:tcPr>
          <w:p w:rsidR="00BA44F0" w:rsidRPr="00241E6F" w:rsidRDefault="00F95D48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en la dirección de Políticas Públicas y el INEGI, Recorrido de supervisión de obra en la calle Francisco Corona de la colonia el Campesino </w:t>
            </w:r>
            <w:r w:rsidR="0077117E">
              <w:rPr>
                <w:rFonts w:ascii="Arial" w:hAnsi="Arial" w:cs="Arial"/>
                <w:sz w:val="20"/>
                <w:szCs w:val="20"/>
              </w:rPr>
              <w:t>con la presidenta municipal Interina.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019" w:type="dxa"/>
          </w:tcPr>
          <w:p w:rsidR="00BA44F0" w:rsidRPr="00241E6F" w:rsidRDefault="00BA44F0" w:rsidP="00EE698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98A">
              <w:rPr>
                <w:rFonts w:ascii="Arial" w:hAnsi="Arial" w:cs="Arial"/>
                <w:sz w:val="20"/>
                <w:szCs w:val="20"/>
              </w:rPr>
              <w:t>Recorrido de supervisión de obra con la presidenta municipal Interina en el Fraccionamiento Villa Fontana.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019" w:type="dxa"/>
          </w:tcPr>
          <w:p w:rsidR="00BA44F0" w:rsidRPr="00241E6F" w:rsidRDefault="00EE698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Sábado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019" w:type="dxa"/>
          </w:tcPr>
          <w:p w:rsidR="00BA44F0" w:rsidRPr="00241E6F" w:rsidRDefault="00EE698A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Domingo</w:t>
            </w:r>
            <w:r w:rsidR="0077117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019" w:type="dxa"/>
          </w:tcPr>
          <w:p w:rsidR="00BA44F0" w:rsidRPr="00241E6F" w:rsidRDefault="00246AC3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Liliana </w:t>
            </w:r>
            <w:r w:rsidR="00E23DD4">
              <w:rPr>
                <w:rFonts w:ascii="Arial" w:hAnsi="Arial" w:cs="Arial"/>
                <w:sz w:val="20"/>
                <w:szCs w:val="20"/>
              </w:rPr>
              <w:t>Macías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colonia Balcones de Santa María. </w:t>
            </w:r>
            <w:r w:rsidR="0077117E">
              <w:rPr>
                <w:rFonts w:ascii="Arial" w:hAnsi="Arial" w:cs="Arial"/>
                <w:sz w:val="20"/>
                <w:szCs w:val="20"/>
              </w:rPr>
              <w:t>Participamos en la sesión del comité técnico del programa “Queremos Cuidarte” en su edición 2021.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019" w:type="dxa"/>
          </w:tcPr>
          <w:p w:rsidR="00BA44F0" w:rsidRPr="00241E6F" w:rsidRDefault="00246AC3" w:rsidP="0077117E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José Alfredo Rivera del polígono Pie del Cerro II, de la colonia Emiliano Zapata.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019" w:type="dxa"/>
          </w:tcPr>
          <w:p w:rsidR="00BA44F0" w:rsidRPr="00241E6F" w:rsidRDefault="00246AC3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Araceli Guerrero de la colonia Ojo de Agua de la delegación de Santa Anita solicitando información para integrar la mesa directiva.  </w:t>
            </w:r>
            <w:r w:rsidR="0077117E">
              <w:rPr>
                <w:rFonts w:ascii="Arial" w:hAnsi="Arial" w:cs="Arial"/>
                <w:sz w:val="20"/>
                <w:szCs w:val="20"/>
              </w:rPr>
              <w:t>Se acudió a la colonia Santa Anita para socializar la obra con comerciantes y vecinos de la calle Ramón Corona.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019" w:type="dxa"/>
          </w:tcPr>
          <w:p w:rsidR="00BA44F0" w:rsidRPr="00241E6F" w:rsidRDefault="00246AC3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atendió a la C. Paula de la colonia los Meseros a solicitar información de la organización de los condominios. </w:t>
            </w:r>
          </w:p>
        </w:tc>
      </w:tr>
      <w:tr w:rsidR="00BA44F0" w:rsidRPr="00B300E2" w:rsidTr="000E0249">
        <w:tc>
          <w:tcPr>
            <w:tcW w:w="959" w:type="dxa"/>
          </w:tcPr>
          <w:p w:rsidR="00BA44F0" w:rsidRPr="00241E6F" w:rsidRDefault="00BA44F0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E6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019" w:type="dxa"/>
          </w:tcPr>
          <w:p w:rsidR="00BA44F0" w:rsidRPr="00241E6F" w:rsidRDefault="0077117E" w:rsidP="000E024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vecinos del circuito Fuente pila seca del Fraccionamiento Villa Fontana donde se proporcionó información respecto a la integración de la organización vecinal. </w:t>
            </w:r>
          </w:p>
        </w:tc>
      </w:tr>
    </w:tbl>
    <w:p w:rsidR="00BA44F0" w:rsidRPr="00B300E2" w:rsidRDefault="00BA44F0" w:rsidP="00BA44F0">
      <w:pPr>
        <w:pStyle w:val="Sinespaciado"/>
        <w:jc w:val="both"/>
        <w:rPr>
          <w:rFonts w:ascii="Arial" w:hAnsi="Arial" w:cs="Arial"/>
        </w:rPr>
      </w:pPr>
    </w:p>
    <w:p w:rsidR="00BA44F0" w:rsidRPr="000A3E6D" w:rsidRDefault="00BA44F0" w:rsidP="00BA44F0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más por el momento, aprovecho la ocasión para hacerle llegar un cordial saludo</w:t>
      </w:r>
    </w:p>
    <w:p w:rsidR="00BA44F0" w:rsidRDefault="00BA44F0" w:rsidP="00BA44F0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 w:rsidRPr="005D1173">
        <w:rPr>
          <w:rFonts w:ascii="Arial" w:hAnsi="Arial" w:cs="Arial"/>
          <w:smallCaps/>
          <w:sz w:val="28"/>
          <w:szCs w:val="28"/>
        </w:rPr>
        <w:t>Atentamente</w:t>
      </w:r>
    </w:p>
    <w:p w:rsidR="00BA44F0" w:rsidRPr="000A3E6D" w:rsidRDefault="00BA44F0" w:rsidP="00BA44F0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</w:p>
    <w:p w:rsidR="00BA44F0" w:rsidRDefault="00BA44F0" w:rsidP="00BA44F0">
      <w:pPr>
        <w:pStyle w:val="Sinespaciado"/>
        <w:jc w:val="center"/>
        <w:rPr>
          <w:rFonts w:ascii="Arial" w:hAnsi="Arial" w:cs="Arial"/>
          <w:smallCaps/>
          <w:sz w:val="24"/>
          <w:szCs w:val="24"/>
        </w:rPr>
      </w:pPr>
    </w:p>
    <w:p w:rsidR="00BA44F0" w:rsidRPr="00413960" w:rsidRDefault="00BA44F0" w:rsidP="00BA44F0">
      <w:pPr>
        <w:pStyle w:val="Sinespaciado"/>
        <w:jc w:val="center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Licenciada </w:t>
      </w:r>
      <w:proofErr w:type="spellStart"/>
      <w:r>
        <w:rPr>
          <w:rFonts w:ascii="Arial" w:hAnsi="Arial" w:cs="Arial"/>
          <w:smallCaps/>
          <w:sz w:val="28"/>
          <w:szCs w:val="28"/>
        </w:rPr>
        <w:t>Samantha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mallCaps/>
          <w:sz w:val="28"/>
          <w:szCs w:val="28"/>
        </w:rPr>
        <w:t>Pollet</w:t>
      </w:r>
      <w:proofErr w:type="spellEnd"/>
      <w:r>
        <w:rPr>
          <w:rFonts w:ascii="Arial" w:hAnsi="Arial" w:cs="Arial"/>
          <w:smallCaps/>
          <w:sz w:val="28"/>
          <w:szCs w:val="28"/>
        </w:rPr>
        <w:t xml:space="preserve"> Núñez Ramírez </w:t>
      </w:r>
    </w:p>
    <w:p w:rsidR="00BA44F0" w:rsidRPr="002C5BC7" w:rsidRDefault="00BA44F0" w:rsidP="00BA44F0">
      <w:pPr>
        <w:pStyle w:val="Sinespaciado"/>
        <w:jc w:val="center"/>
      </w:pP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Directora</w:t>
      </w:r>
      <w:proofErr w:type="spellEnd"/>
      <w:r>
        <w:rPr>
          <w:rFonts w:ascii="Arial" w:hAnsi="Arial" w:cs="Arial"/>
          <w:smallCaps/>
          <w:sz w:val="28"/>
          <w:szCs w:val="28"/>
          <w:lang w:val="en-US"/>
        </w:rPr>
        <w:t xml:space="preserve"> de participation </w:t>
      </w:r>
      <w:proofErr w:type="spellStart"/>
      <w:r>
        <w:rPr>
          <w:rFonts w:ascii="Arial" w:hAnsi="Arial" w:cs="Arial"/>
          <w:smallCaps/>
          <w:sz w:val="28"/>
          <w:szCs w:val="28"/>
          <w:lang w:val="en-US"/>
        </w:rPr>
        <w:t>ciudadana</w:t>
      </w:r>
      <w:proofErr w:type="spellEnd"/>
    </w:p>
    <w:p w:rsidR="00BA44F0" w:rsidRDefault="00BA44F0" w:rsidP="00BA44F0"/>
    <w:p w:rsidR="00F36ACF" w:rsidRDefault="00035B0B"/>
    <w:sectPr w:rsidR="00F36ACF" w:rsidSect="00BE4175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F0"/>
    <w:rsid w:val="00035B0B"/>
    <w:rsid w:val="00090535"/>
    <w:rsid w:val="00246AC3"/>
    <w:rsid w:val="0077117E"/>
    <w:rsid w:val="00B66746"/>
    <w:rsid w:val="00BA44F0"/>
    <w:rsid w:val="00C32BA8"/>
    <w:rsid w:val="00D73D4E"/>
    <w:rsid w:val="00E23DD4"/>
    <w:rsid w:val="00EE698A"/>
    <w:rsid w:val="00F9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0C189-3762-47DA-BAA1-40B6BBE5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4F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4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A44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Sirlhey Alejandra Maldonado Mejia</dc:creator>
  <cp:keywords/>
  <dc:description/>
  <cp:lastModifiedBy>Cesar Ignacio Bocanegra Alvarado</cp:lastModifiedBy>
  <cp:revision>2</cp:revision>
  <dcterms:created xsi:type="dcterms:W3CDTF">2021-09-13T15:30:00Z</dcterms:created>
  <dcterms:modified xsi:type="dcterms:W3CDTF">2021-09-13T15:30:00Z</dcterms:modified>
</cp:coreProperties>
</file>