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92" w:rsidRPr="00614384" w:rsidRDefault="00984E92" w:rsidP="00984E92">
      <w:pPr>
        <w:spacing w:after="0" w:line="240" w:lineRule="auto"/>
        <w:jc w:val="right"/>
        <w:rPr>
          <w:rFonts w:ascii="Century Gothic" w:eastAsia="Times New Roman" w:hAnsi="Century Gothic" w:cs="Arial"/>
          <w:b/>
          <w:sz w:val="24"/>
          <w:szCs w:val="24"/>
          <w:lang w:val="es-ES" w:eastAsia="es-ES"/>
        </w:rPr>
      </w:pPr>
      <w:r w:rsidRPr="00614384">
        <w:rPr>
          <w:rFonts w:ascii="Century Gothic" w:eastAsia="Times New Roman" w:hAnsi="Century Gothic" w:cs="Arial"/>
          <w:b/>
          <w:sz w:val="24"/>
          <w:szCs w:val="24"/>
          <w:lang w:val="es-ES" w:eastAsia="es-ES"/>
        </w:rPr>
        <w:t>SALA DE REGIDORES</w:t>
      </w:r>
    </w:p>
    <w:p w:rsidR="00984E92" w:rsidRPr="00614384" w:rsidRDefault="00984E92" w:rsidP="00984E92">
      <w:pPr>
        <w:spacing w:after="0" w:line="240" w:lineRule="auto"/>
        <w:jc w:val="right"/>
        <w:rPr>
          <w:rFonts w:ascii="Century Gothic" w:eastAsia="Times New Roman" w:hAnsi="Century Gothic" w:cs="Arial"/>
          <w:b/>
          <w:sz w:val="24"/>
          <w:szCs w:val="24"/>
          <w:lang w:val="es-ES" w:eastAsia="es-ES"/>
        </w:rPr>
      </w:pPr>
      <w:r w:rsidRPr="00C744CA">
        <w:rPr>
          <w:rFonts w:ascii="Century Gothic" w:eastAsia="Times New Roman" w:hAnsi="Century Gothic" w:cs="Arial"/>
          <w:b/>
          <w:sz w:val="24"/>
          <w:szCs w:val="24"/>
          <w:highlight w:val="yellow"/>
          <w:lang w:val="es-ES" w:eastAsia="es-ES"/>
        </w:rPr>
        <w:t>OFICIO /</w:t>
      </w:r>
      <w:r>
        <w:rPr>
          <w:rFonts w:ascii="Century Gothic" w:eastAsia="Times New Roman" w:hAnsi="Century Gothic" w:cs="Arial"/>
          <w:b/>
          <w:sz w:val="24"/>
          <w:szCs w:val="24"/>
          <w:lang w:val="es-ES" w:eastAsia="es-ES"/>
        </w:rPr>
        <w:t>2020</w:t>
      </w:r>
    </w:p>
    <w:p w:rsidR="00984E92" w:rsidRPr="00614384" w:rsidRDefault="00984E92" w:rsidP="00984E92">
      <w:pPr>
        <w:spacing w:after="0" w:line="240" w:lineRule="auto"/>
        <w:rPr>
          <w:rFonts w:ascii="Century Gothic" w:eastAsia="Times New Roman" w:hAnsi="Century Gothic" w:cs="Arial"/>
          <w:b/>
          <w:sz w:val="24"/>
          <w:szCs w:val="24"/>
          <w:lang w:val="es-ES" w:eastAsia="es-ES"/>
        </w:rPr>
      </w:pPr>
    </w:p>
    <w:p w:rsidR="00984E92" w:rsidRPr="00614384" w:rsidRDefault="00984E92" w:rsidP="00984E92">
      <w:pPr>
        <w:spacing w:after="0" w:line="240" w:lineRule="auto"/>
        <w:rPr>
          <w:rFonts w:ascii="Century Gothic" w:eastAsia="Times New Roman" w:hAnsi="Century Gothic" w:cs="Arial"/>
          <w:b/>
          <w:sz w:val="24"/>
          <w:szCs w:val="24"/>
          <w:lang w:val="es-ES" w:eastAsia="es-ES"/>
        </w:rPr>
      </w:pPr>
    </w:p>
    <w:p w:rsidR="00984E92" w:rsidRPr="009C6D88" w:rsidRDefault="00984E92" w:rsidP="00984E92">
      <w:pPr>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Mtro. Otoniel Vara de Valdez González </w:t>
      </w:r>
    </w:p>
    <w:p w:rsidR="00984E92" w:rsidRPr="009C6D88" w:rsidRDefault="00984E92" w:rsidP="00984E92">
      <w:pPr>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Encargado de Despacho de la </w:t>
      </w:r>
    </w:p>
    <w:p w:rsidR="00984E92" w:rsidRPr="009C6D88" w:rsidRDefault="00984E92" w:rsidP="00984E92">
      <w:pPr>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Dirección de Transparencia </w:t>
      </w:r>
    </w:p>
    <w:p w:rsidR="00984E92" w:rsidRPr="009C6D88" w:rsidRDefault="00984E92" w:rsidP="00984E92">
      <w:pPr>
        <w:tabs>
          <w:tab w:val="right" w:pos="8838"/>
        </w:tabs>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Presente:   </w:t>
      </w:r>
      <w:r w:rsidRPr="009C6D88">
        <w:rPr>
          <w:rFonts w:ascii="Century Gothic" w:eastAsia="Times New Roman" w:hAnsi="Century Gothic" w:cs="Arial"/>
          <w:b/>
          <w:sz w:val="24"/>
          <w:szCs w:val="24"/>
          <w:lang w:val="es-ES" w:eastAsia="es-ES"/>
        </w:rPr>
        <w:tab/>
      </w:r>
    </w:p>
    <w:p w:rsidR="00984E92" w:rsidRPr="009C6D88" w:rsidRDefault="00984E92" w:rsidP="00984E92">
      <w:pPr>
        <w:tabs>
          <w:tab w:val="left" w:pos="708"/>
          <w:tab w:val="left" w:pos="1185"/>
        </w:tabs>
        <w:spacing w:after="0" w:line="360" w:lineRule="auto"/>
        <w:jc w:val="both"/>
        <w:rPr>
          <w:rFonts w:ascii="Century Gothic" w:eastAsia="Times New Roman" w:hAnsi="Century Gothic" w:cs="Arial"/>
          <w:sz w:val="24"/>
          <w:szCs w:val="24"/>
          <w:lang w:val="es-ES" w:eastAsia="es-ES"/>
        </w:rPr>
      </w:pPr>
      <w:r w:rsidRPr="009C6D88">
        <w:rPr>
          <w:rFonts w:ascii="Century Gothic" w:eastAsia="Times New Roman" w:hAnsi="Century Gothic" w:cs="Arial"/>
          <w:sz w:val="24"/>
          <w:szCs w:val="24"/>
          <w:lang w:val="es-ES" w:eastAsia="es-ES"/>
        </w:rPr>
        <w:tab/>
      </w:r>
    </w:p>
    <w:p w:rsidR="00984E92" w:rsidRPr="00614384" w:rsidRDefault="00984E92" w:rsidP="00984E92">
      <w:pPr>
        <w:spacing w:after="0" w:line="276" w:lineRule="auto"/>
        <w:ind w:firstLine="708"/>
        <w:jc w:val="both"/>
        <w:rPr>
          <w:rFonts w:ascii="Century Gothic" w:eastAsia="Times New Roman" w:hAnsi="Century Gothic" w:cs="Arial"/>
          <w:sz w:val="24"/>
          <w:szCs w:val="24"/>
          <w:lang w:val="es-ES" w:eastAsia="es-ES"/>
        </w:rPr>
      </w:pPr>
      <w:r w:rsidRPr="00095B84">
        <w:rPr>
          <w:rFonts w:ascii="Century Gothic" w:eastAsia="Times New Roman" w:hAnsi="Century Gothic" w:cs="Arial"/>
          <w:sz w:val="24"/>
          <w:szCs w:val="24"/>
          <w:lang w:val="es-ES" w:eastAsia="es-ES"/>
        </w:rPr>
        <w:t xml:space="preserve">Por este medio envío un cordial saludo y en relación </w:t>
      </w:r>
      <w:r>
        <w:rPr>
          <w:rFonts w:ascii="Century Gothic" w:eastAsia="Times New Roman" w:hAnsi="Century Gothic" w:cs="Arial"/>
          <w:sz w:val="24"/>
          <w:szCs w:val="24"/>
          <w:lang w:val="es-ES" w:eastAsia="es-ES"/>
        </w:rPr>
        <w:t>al Oficio electrónico 18490</w:t>
      </w:r>
      <w:r w:rsidRPr="00F54204">
        <w:rPr>
          <w:rFonts w:ascii="Century Gothic" w:eastAsia="Times New Roman" w:hAnsi="Century Gothic" w:cs="Arial"/>
          <w:sz w:val="24"/>
          <w:szCs w:val="24"/>
          <w:lang w:val="es-ES" w:eastAsia="es-ES"/>
        </w:rPr>
        <w:t>,</w:t>
      </w:r>
      <w:r w:rsidRPr="00614384">
        <w:rPr>
          <w:rFonts w:ascii="Century Gothic" w:eastAsia="Times New Roman" w:hAnsi="Century Gothic" w:cs="Arial"/>
          <w:sz w:val="24"/>
          <w:szCs w:val="24"/>
          <w:lang w:val="es-ES" w:eastAsia="es-ES"/>
        </w:rPr>
        <w:t xml:space="preserve"> donde solicita </w:t>
      </w:r>
      <w:r w:rsidRPr="00614384">
        <w:rPr>
          <w:rFonts w:ascii="Century Gothic" w:eastAsia="Times New Roman" w:hAnsi="Century Gothic" w:cs="Arial"/>
          <w:b/>
          <w:sz w:val="24"/>
          <w:szCs w:val="24"/>
          <w:lang w:val="es-ES" w:eastAsia="es-ES"/>
        </w:rPr>
        <w:t xml:space="preserve">las actualizaciones </w:t>
      </w:r>
      <w:r>
        <w:rPr>
          <w:rFonts w:ascii="Century Gothic" w:eastAsia="Times New Roman" w:hAnsi="Century Gothic" w:cs="Arial"/>
          <w:b/>
          <w:sz w:val="24"/>
          <w:szCs w:val="24"/>
          <w:lang w:val="es-ES" w:eastAsia="es-ES"/>
        </w:rPr>
        <w:t xml:space="preserve">correspondientes al mes de Julio </w:t>
      </w:r>
      <w:r w:rsidRPr="00614384">
        <w:rPr>
          <w:rFonts w:ascii="Century Gothic" w:eastAsia="Times New Roman" w:hAnsi="Century Gothic" w:cs="Arial"/>
          <w:b/>
          <w:sz w:val="24"/>
          <w:szCs w:val="24"/>
          <w:lang w:val="es-ES" w:eastAsia="es-ES"/>
        </w:rPr>
        <w:t xml:space="preserve">que haya sufrido la información pública fundamental </w:t>
      </w:r>
      <w:r>
        <w:rPr>
          <w:rFonts w:ascii="Century Gothic" w:eastAsia="Times New Roman" w:hAnsi="Century Gothic" w:cs="Arial"/>
          <w:b/>
          <w:sz w:val="24"/>
          <w:szCs w:val="24"/>
          <w:lang w:val="es-ES" w:eastAsia="es-ES"/>
        </w:rPr>
        <w:t xml:space="preserve">a lo establecido por el art. 25.1 fracción VI </w:t>
      </w:r>
      <w:r w:rsidRPr="00614384">
        <w:rPr>
          <w:rFonts w:ascii="Century Gothic" w:eastAsia="Times New Roman" w:hAnsi="Century Gothic" w:cs="Arial"/>
          <w:b/>
          <w:sz w:val="24"/>
          <w:szCs w:val="24"/>
          <w:lang w:val="es-ES" w:eastAsia="es-ES"/>
        </w:rPr>
        <w:t>de la Ley de Transparencia y Acceso a la Información Pública del Estado de Jalisc</w:t>
      </w:r>
      <w:r>
        <w:rPr>
          <w:rFonts w:ascii="Century Gothic" w:eastAsia="Times New Roman" w:hAnsi="Century Gothic" w:cs="Arial"/>
          <w:b/>
          <w:sz w:val="24"/>
          <w:szCs w:val="24"/>
          <w:lang w:val="es-ES" w:eastAsia="es-ES"/>
        </w:rPr>
        <w:t>o y sus Municipios, se anexan 4</w:t>
      </w:r>
      <w:r w:rsidRPr="009E2C50">
        <w:rPr>
          <w:rFonts w:ascii="Century Gothic" w:eastAsia="Times New Roman" w:hAnsi="Century Gothic" w:cs="Arial"/>
          <w:b/>
          <w:sz w:val="24"/>
          <w:szCs w:val="24"/>
          <w:lang w:val="es-ES" w:eastAsia="es-ES"/>
        </w:rPr>
        <w:t xml:space="preserve"> hojas</w:t>
      </w:r>
      <w:r w:rsidRPr="00614384">
        <w:rPr>
          <w:rFonts w:ascii="Century Gothic" w:eastAsia="Times New Roman" w:hAnsi="Century Gothic" w:cs="Arial"/>
          <w:b/>
          <w:sz w:val="24"/>
          <w:szCs w:val="24"/>
          <w:lang w:val="es-ES" w:eastAsia="es-ES"/>
        </w:rPr>
        <w:t xml:space="preserve"> con la informac</w:t>
      </w:r>
      <w:r>
        <w:rPr>
          <w:rFonts w:ascii="Century Gothic" w:eastAsia="Times New Roman" w:hAnsi="Century Gothic" w:cs="Arial"/>
          <w:b/>
          <w:sz w:val="24"/>
          <w:szCs w:val="24"/>
          <w:lang w:val="es-ES" w:eastAsia="es-ES"/>
        </w:rPr>
        <w:t>ión solicitada</w:t>
      </w:r>
      <w:r w:rsidRPr="00614384">
        <w:rPr>
          <w:rFonts w:ascii="Century Gothic" w:eastAsia="Times New Roman" w:hAnsi="Century Gothic" w:cs="Arial"/>
          <w:b/>
          <w:sz w:val="24"/>
          <w:szCs w:val="24"/>
          <w:lang w:val="es-ES" w:eastAsia="es-ES"/>
        </w:rPr>
        <w:t xml:space="preserve">. </w:t>
      </w:r>
    </w:p>
    <w:p w:rsidR="00984E92" w:rsidRPr="00614384" w:rsidRDefault="00984E92" w:rsidP="00984E92">
      <w:pPr>
        <w:spacing w:after="0" w:line="240" w:lineRule="auto"/>
        <w:jc w:val="center"/>
        <w:rPr>
          <w:rFonts w:ascii="Century Gothic" w:eastAsia="Times New Roman" w:hAnsi="Century Gothic" w:cs="Arial"/>
          <w:sz w:val="24"/>
          <w:szCs w:val="24"/>
          <w:lang w:val="es-ES" w:eastAsia="es-ES"/>
        </w:rPr>
      </w:pPr>
    </w:p>
    <w:p w:rsidR="00984E92" w:rsidRDefault="00984E92" w:rsidP="00984E92">
      <w:pPr>
        <w:spacing w:after="0" w:line="240" w:lineRule="auto"/>
        <w:jc w:val="both"/>
        <w:rPr>
          <w:rFonts w:ascii="Century Gothic" w:eastAsia="Times New Roman" w:hAnsi="Century Gothic" w:cs="Arial"/>
          <w:b/>
          <w:sz w:val="28"/>
          <w:szCs w:val="28"/>
          <w:lang w:val="es-ES" w:eastAsia="es-ES"/>
        </w:rPr>
      </w:pPr>
    </w:p>
    <w:p w:rsidR="00984E92" w:rsidRDefault="00984E92" w:rsidP="00984E92">
      <w:pPr>
        <w:spacing w:after="0" w:line="240" w:lineRule="auto"/>
        <w:jc w:val="both"/>
        <w:rPr>
          <w:rFonts w:ascii="Century Gothic" w:eastAsia="Times New Roman" w:hAnsi="Century Gothic" w:cs="Arial"/>
          <w:b/>
          <w:sz w:val="28"/>
          <w:szCs w:val="28"/>
          <w:lang w:val="es-ES" w:eastAsia="es-ES"/>
        </w:rPr>
      </w:pPr>
    </w:p>
    <w:p w:rsidR="00984E92" w:rsidRDefault="00984E92" w:rsidP="00984E92">
      <w:pPr>
        <w:tabs>
          <w:tab w:val="left" w:pos="7371"/>
        </w:tabs>
        <w:spacing w:line="256" w:lineRule="auto"/>
        <w:contextualSpacing/>
        <w:rPr>
          <w:rFonts w:ascii="Century Gothic" w:eastAsia="Times New Roman" w:hAnsi="Century Gothic" w:cstheme="minorHAnsi"/>
          <w:lang w:val="es-ES" w:eastAsia="es-ES"/>
        </w:rPr>
      </w:pPr>
    </w:p>
    <w:p w:rsidR="00984E92" w:rsidRPr="00614384" w:rsidRDefault="00984E92" w:rsidP="00984E92">
      <w:pPr>
        <w:spacing w:after="0" w:line="240" w:lineRule="auto"/>
        <w:jc w:val="both"/>
        <w:rPr>
          <w:rFonts w:ascii="Century Gothic" w:eastAsia="Times New Roman" w:hAnsi="Century Gothic" w:cs="Arial"/>
          <w:b/>
          <w:sz w:val="28"/>
          <w:szCs w:val="28"/>
          <w:lang w:val="es-ES" w:eastAsia="es-ES"/>
        </w:rPr>
      </w:pPr>
      <w:r w:rsidRPr="00614384">
        <w:rPr>
          <w:rFonts w:ascii="Century Gothic" w:eastAsia="Times New Roman" w:hAnsi="Century Gothic" w:cs="Arial"/>
          <w:b/>
          <w:sz w:val="28"/>
          <w:szCs w:val="28"/>
          <w:lang w:val="es-ES" w:eastAsia="es-ES"/>
        </w:rPr>
        <w:t xml:space="preserve">Artículo 8: </w:t>
      </w:r>
    </w:p>
    <w:p w:rsidR="00984E92" w:rsidRPr="00614384" w:rsidRDefault="00984E92" w:rsidP="00984E92">
      <w:pPr>
        <w:spacing w:after="0" w:line="240" w:lineRule="auto"/>
        <w:jc w:val="both"/>
        <w:rPr>
          <w:rFonts w:ascii="Century Gothic" w:eastAsia="Times New Roman" w:hAnsi="Century Gothic" w:cs="Arial"/>
          <w:b/>
          <w:sz w:val="28"/>
          <w:szCs w:val="28"/>
          <w:lang w:val="es-ES" w:eastAsia="es-ES"/>
        </w:rPr>
      </w:pPr>
    </w:p>
    <w:p w:rsidR="00984E92" w:rsidRPr="00614384" w:rsidRDefault="00984E92" w:rsidP="00984E92">
      <w:pPr>
        <w:spacing w:after="0" w:line="240" w:lineRule="auto"/>
        <w:rPr>
          <w:rFonts w:ascii="Century Gothic" w:eastAsia="Times New Roman" w:hAnsi="Century Gothic" w:cs="Arial"/>
          <w:sz w:val="28"/>
          <w:szCs w:val="28"/>
          <w:lang w:val="es-ES" w:eastAsia="es-ES"/>
        </w:rPr>
      </w:pPr>
    </w:p>
    <w:p w:rsidR="00984E92" w:rsidRPr="007D4783" w:rsidRDefault="00984E92" w:rsidP="00984E92">
      <w:pPr>
        <w:numPr>
          <w:ilvl w:val="0"/>
          <w:numId w:val="1"/>
        </w:numPr>
        <w:spacing w:after="0" w:line="240" w:lineRule="auto"/>
        <w:contextualSpacing/>
        <w:rPr>
          <w:rFonts w:ascii="Century Gothic" w:eastAsia="Times New Roman" w:hAnsi="Century Gothic" w:cs="Arial"/>
          <w:sz w:val="28"/>
          <w:szCs w:val="28"/>
          <w:lang w:val="es-ES" w:eastAsia="es-ES"/>
        </w:rPr>
      </w:pPr>
      <w:r w:rsidRPr="00614384">
        <w:rPr>
          <w:rFonts w:ascii="Century Gothic" w:eastAsia="Times New Roman" w:hAnsi="Century Gothic" w:cs="Arial"/>
          <w:b/>
          <w:sz w:val="28"/>
          <w:szCs w:val="28"/>
          <w:lang w:val="es-ES" w:eastAsia="es-ES"/>
        </w:rPr>
        <w:t>Fracción VI inciso</w:t>
      </w:r>
      <w:r w:rsidRPr="00614384">
        <w:rPr>
          <w:rFonts w:ascii="Century Gothic" w:eastAsia="Times New Roman" w:hAnsi="Century Gothic" w:cs="Arial"/>
          <w:sz w:val="28"/>
          <w:szCs w:val="28"/>
          <w:lang w:val="es-ES" w:eastAsia="es-ES"/>
        </w:rPr>
        <w:t>:</w:t>
      </w:r>
    </w:p>
    <w:p w:rsidR="00984E92" w:rsidRPr="00A13297" w:rsidRDefault="00984E92" w:rsidP="00984E92">
      <w:pPr>
        <w:jc w:val="both"/>
        <w:rPr>
          <w:rFonts w:ascii="Century Gothic" w:hAnsi="Century Gothic"/>
        </w:rPr>
      </w:pPr>
      <w:r w:rsidRPr="006335AE">
        <w:rPr>
          <w:rFonts w:ascii="Century Gothic" w:eastAsia="Times New Roman" w:hAnsi="Century Gothic" w:cs="Arial"/>
          <w:sz w:val="24"/>
          <w:szCs w:val="24"/>
          <w:lang w:val="es-ES" w:eastAsia="es-ES"/>
        </w:rPr>
        <w:t xml:space="preserve">I) </w:t>
      </w:r>
      <w:r w:rsidRPr="00C7252B">
        <w:rPr>
          <w:rFonts w:ascii="Century Gothic" w:hAnsi="Century Gothic"/>
          <w:sz w:val="24"/>
          <w:szCs w:val="24"/>
        </w:rPr>
        <w:t>No se celebr</w:t>
      </w:r>
      <w:r>
        <w:rPr>
          <w:rFonts w:ascii="Century Gothic" w:hAnsi="Century Gothic"/>
          <w:sz w:val="24"/>
          <w:szCs w:val="24"/>
        </w:rPr>
        <w:t>aron sesiones en el mes de Julio</w:t>
      </w:r>
      <w:r w:rsidRPr="00C7252B">
        <w:rPr>
          <w:rFonts w:ascii="Century Gothic" w:hAnsi="Century Gothic"/>
          <w:sz w:val="24"/>
          <w:szCs w:val="24"/>
        </w:rPr>
        <w:t xml:space="preserve"> de las Comisiones que presido de </w:t>
      </w:r>
      <w:r>
        <w:rPr>
          <w:rFonts w:ascii="Century Gothic" w:hAnsi="Century Gothic"/>
          <w:sz w:val="24"/>
          <w:szCs w:val="24"/>
        </w:rPr>
        <w:t>“</w:t>
      </w:r>
      <w:r w:rsidRPr="00C7252B">
        <w:rPr>
          <w:rFonts w:ascii="Century Gothic" w:hAnsi="Century Gothic"/>
          <w:sz w:val="24"/>
          <w:szCs w:val="24"/>
        </w:rPr>
        <w:t>Planeación Socioeconómica y Urbana</w:t>
      </w:r>
      <w:r>
        <w:rPr>
          <w:rFonts w:ascii="Century Gothic" w:hAnsi="Century Gothic"/>
          <w:sz w:val="24"/>
          <w:szCs w:val="24"/>
        </w:rPr>
        <w:t>”</w:t>
      </w:r>
      <w:r w:rsidRPr="00C7252B">
        <w:rPr>
          <w:rFonts w:ascii="Century Gothic" w:hAnsi="Century Gothic"/>
          <w:sz w:val="24"/>
          <w:szCs w:val="24"/>
        </w:rPr>
        <w:t xml:space="preserve">  y de </w:t>
      </w:r>
      <w:r>
        <w:rPr>
          <w:rFonts w:ascii="Century Gothic" w:hAnsi="Century Gothic"/>
          <w:sz w:val="24"/>
          <w:szCs w:val="24"/>
        </w:rPr>
        <w:t xml:space="preserve">“Transparencia y Anticorrupción”, </w:t>
      </w:r>
      <w:r>
        <w:rPr>
          <w:rFonts w:ascii="Century Gothic" w:eastAsia="Times New Roman" w:hAnsi="Century Gothic" w:cs="Arial"/>
          <w:sz w:val="24"/>
          <w:szCs w:val="24"/>
          <w:lang w:val="es-ES" w:eastAsia="es-ES"/>
        </w:rPr>
        <w:t>debido a la pandemia del COVID 19 y en base al Acuerdo 1381/2020 “Medidas y Criterios de Actuación ante la Emergencia Sanitaria por el COVID 19 en el municipio de San Pedro Tlaquepaque”  aprobada en sesión de cabildo el 20 de Marzo del presente año, donde en el punto quinto de los acuerdos, se suspenden la realización de dichas reuniones.</w:t>
      </w:r>
    </w:p>
    <w:p w:rsidR="00984E92" w:rsidRDefault="00984E92" w:rsidP="00984E92">
      <w:pPr>
        <w:tabs>
          <w:tab w:val="left" w:pos="7371"/>
        </w:tabs>
        <w:spacing w:line="256" w:lineRule="auto"/>
        <w:ind w:left="720"/>
        <w:contextualSpacing/>
        <w:jc w:val="right"/>
        <w:rPr>
          <w:rFonts w:ascii="Century Gothic" w:eastAsia="Times New Roman" w:hAnsi="Century Gothic" w:cstheme="minorHAnsi"/>
          <w:lang w:val="es-ES" w:eastAsia="es-ES"/>
        </w:rPr>
      </w:pPr>
    </w:p>
    <w:p w:rsidR="00984E92" w:rsidRPr="005B5BC8" w:rsidRDefault="00984E92" w:rsidP="00984E92">
      <w:pPr>
        <w:tabs>
          <w:tab w:val="left" w:pos="7371"/>
        </w:tabs>
        <w:spacing w:line="256" w:lineRule="auto"/>
        <w:contextualSpacing/>
        <w:rPr>
          <w:rFonts w:ascii="Century Gothic" w:eastAsia="Times New Roman" w:hAnsi="Century Gothic" w:cstheme="minorHAnsi"/>
          <w:lang w:val="es-ES" w:eastAsia="es-ES"/>
        </w:rPr>
      </w:pPr>
    </w:p>
    <w:p w:rsidR="00984E92" w:rsidRPr="007D4783" w:rsidRDefault="00984E92" w:rsidP="00984E92">
      <w:pPr>
        <w:numPr>
          <w:ilvl w:val="0"/>
          <w:numId w:val="1"/>
        </w:numPr>
        <w:tabs>
          <w:tab w:val="left" w:pos="7371"/>
        </w:tabs>
        <w:spacing w:after="0" w:line="240" w:lineRule="auto"/>
        <w:contextualSpacing/>
        <w:rPr>
          <w:rFonts w:ascii="Century Gothic" w:eastAsia="Times New Roman" w:hAnsi="Century Gothic" w:cs="Arial"/>
          <w:sz w:val="28"/>
          <w:szCs w:val="28"/>
          <w:lang w:val="es-ES" w:eastAsia="es-ES"/>
        </w:rPr>
      </w:pPr>
      <w:r w:rsidRPr="00614384">
        <w:rPr>
          <w:rFonts w:ascii="Century Gothic" w:eastAsia="Times New Roman" w:hAnsi="Century Gothic" w:cs="Arial"/>
          <w:b/>
          <w:sz w:val="28"/>
          <w:szCs w:val="28"/>
          <w:lang w:val="es-ES" w:eastAsia="es-ES"/>
        </w:rPr>
        <w:t>Fracción VI inciso</w:t>
      </w:r>
      <w:r w:rsidRPr="00614384">
        <w:rPr>
          <w:rFonts w:ascii="Century Gothic" w:eastAsia="Times New Roman" w:hAnsi="Century Gothic" w:cs="Arial"/>
          <w:sz w:val="28"/>
          <w:szCs w:val="28"/>
          <w:lang w:val="es-ES" w:eastAsia="es-ES"/>
        </w:rPr>
        <w:t>:</w:t>
      </w:r>
    </w:p>
    <w:p w:rsidR="00984E92" w:rsidRDefault="00984E92" w:rsidP="00984E92">
      <w:pPr>
        <w:tabs>
          <w:tab w:val="left" w:pos="7371"/>
        </w:tabs>
        <w:spacing w:after="0" w:line="240" w:lineRule="auto"/>
        <w:contextualSpacing/>
        <w:jc w:val="both"/>
        <w:rPr>
          <w:rFonts w:ascii="Century Gothic" w:eastAsia="Times New Roman" w:hAnsi="Century Gothic" w:cs="Arial"/>
          <w:sz w:val="28"/>
          <w:szCs w:val="28"/>
          <w:lang w:val="es-ES" w:eastAsia="es-ES"/>
        </w:rPr>
      </w:pPr>
    </w:p>
    <w:p w:rsidR="00984E92" w:rsidRPr="00C7252B" w:rsidRDefault="00984E92" w:rsidP="00984E92">
      <w:pPr>
        <w:spacing w:line="360" w:lineRule="auto"/>
        <w:jc w:val="both"/>
        <w:rPr>
          <w:rFonts w:ascii="Century Gothic" w:hAnsi="Century Gothic"/>
        </w:rPr>
      </w:pPr>
      <w:r>
        <w:rPr>
          <w:rFonts w:ascii="Century Gothic" w:eastAsia="Times New Roman" w:hAnsi="Century Gothic" w:cs="Arial"/>
          <w:sz w:val="28"/>
          <w:szCs w:val="28"/>
          <w:lang w:val="es-ES" w:eastAsia="es-ES"/>
        </w:rPr>
        <w:t xml:space="preserve">J) </w:t>
      </w:r>
      <w:r w:rsidRPr="00C7252B">
        <w:rPr>
          <w:rFonts w:ascii="Century Gothic" w:hAnsi="Century Gothic"/>
          <w:sz w:val="24"/>
          <w:szCs w:val="24"/>
        </w:rPr>
        <w:t>No se celebr</w:t>
      </w:r>
      <w:r>
        <w:rPr>
          <w:rFonts w:ascii="Century Gothic" w:hAnsi="Century Gothic"/>
          <w:sz w:val="24"/>
          <w:szCs w:val="24"/>
        </w:rPr>
        <w:t>aron sesiones en el mes de Julio</w:t>
      </w:r>
      <w:r w:rsidRPr="00C7252B">
        <w:rPr>
          <w:rFonts w:ascii="Century Gothic" w:hAnsi="Century Gothic"/>
          <w:sz w:val="24"/>
          <w:szCs w:val="24"/>
        </w:rPr>
        <w:t xml:space="preserve"> de las Comisiones que presido de </w:t>
      </w:r>
      <w:r>
        <w:rPr>
          <w:rFonts w:ascii="Century Gothic" w:hAnsi="Century Gothic"/>
          <w:sz w:val="24"/>
          <w:szCs w:val="24"/>
        </w:rPr>
        <w:t>“</w:t>
      </w:r>
      <w:r w:rsidRPr="00C7252B">
        <w:rPr>
          <w:rFonts w:ascii="Century Gothic" w:hAnsi="Century Gothic"/>
          <w:sz w:val="24"/>
          <w:szCs w:val="24"/>
        </w:rPr>
        <w:t>Planeación Socioeconómica y Urbana</w:t>
      </w:r>
      <w:r>
        <w:rPr>
          <w:rFonts w:ascii="Century Gothic" w:hAnsi="Century Gothic"/>
          <w:sz w:val="24"/>
          <w:szCs w:val="24"/>
        </w:rPr>
        <w:t>”</w:t>
      </w:r>
      <w:r w:rsidRPr="00C7252B">
        <w:rPr>
          <w:rFonts w:ascii="Century Gothic" w:hAnsi="Century Gothic"/>
          <w:sz w:val="24"/>
          <w:szCs w:val="24"/>
        </w:rPr>
        <w:t xml:space="preserve">  y de </w:t>
      </w:r>
      <w:r>
        <w:rPr>
          <w:rFonts w:ascii="Century Gothic" w:hAnsi="Century Gothic"/>
          <w:sz w:val="24"/>
          <w:szCs w:val="24"/>
        </w:rPr>
        <w:t xml:space="preserve">“Transparencia y Anticorrupción”, </w:t>
      </w:r>
      <w:r>
        <w:rPr>
          <w:rFonts w:ascii="Century Gothic" w:eastAsia="Times New Roman" w:hAnsi="Century Gothic" w:cs="Arial"/>
          <w:sz w:val="24"/>
          <w:szCs w:val="24"/>
          <w:lang w:val="es-ES" w:eastAsia="es-ES"/>
        </w:rPr>
        <w:t xml:space="preserve">debido a la pandemia del COVID 19 y en base al Acuerdo 1381/2020 “Medidas y Criterios de Actuación ante la Emergencia Sanitaria </w:t>
      </w:r>
      <w:r>
        <w:rPr>
          <w:rFonts w:ascii="Century Gothic" w:eastAsia="Times New Roman" w:hAnsi="Century Gothic" w:cs="Arial"/>
          <w:sz w:val="24"/>
          <w:szCs w:val="24"/>
          <w:lang w:val="es-ES" w:eastAsia="es-ES"/>
        </w:rPr>
        <w:lastRenderedPageBreak/>
        <w:t>por el COVID 19 en el municipio de San Pedro Tlaquepaque”  aprobada en sesión de cabildo el 20 de Marzo del presente año, donde en el punto quinto de los acuerdos, se suspenden la realización de dichas reuniones.</w:t>
      </w:r>
    </w:p>
    <w:p w:rsidR="00BE673A" w:rsidRDefault="00BE673A">
      <w:bookmarkStart w:id="0" w:name="_GoBack"/>
      <w:bookmarkEnd w:id="0"/>
    </w:p>
    <w:sectPr w:rsidR="00BE67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914BA"/>
    <w:multiLevelType w:val="hybridMultilevel"/>
    <w:tmpl w:val="30BAAA44"/>
    <w:lvl w:ilvl="0" w:tplc="6E7E433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2"/>
    <w:rsid w:val="00984E92"/>
    <w:rsid w:val="00BE67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09F1-53A4-49DB-AF76-9A25BE4D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1</cp:revision>
  <dcterms:created xsi:type="dcterms:W3CDTF">2020-08-05T19:42:00Z</dcterms:created>
  <dcterms:modified xsi:type="dcterms:W3CDTF">2020-08-05T19:50:00Z</dcterms:modified>
</cp:coreProperties>
</file>