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4" w:rsidRDefault="007832FD" w:rsidP="005D3CE9">
      <w:pPr>
        <w:jc w:val="center"/>
        <w:rPr>
          <w:i/>
          <w:sz w:val="16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7576185</wp:posOffset>
            </wp:positionH>
            <wp:positionV relativeFrom="paragraph">
              <wp:posOffset>79375</wp:posOffset>
            </wp:positionV>
            <wp:extent cx="784860" cy="978535"/>
            <wp:effectExtent l="19050" t="0" r="0" b="0"/>
            <wp:wrapThrough wrapText="bothSides">
              <wp:wrapPolygon edited="0">
                <wp:start x="-524" y="0"/>
                <wp:lineTo x="-524" y="21025"/>
                <wp:lineTo x="21495" y="21025"/>
                <wp:lineTo x="21495" y="0"/>
                <wp:lineTo x="-52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5195" w:tblpY="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6291"/>
      </w:tblGrid>
      <w:tr w:rsidR="00B42C15" w:rsidRPr="00A53525" w:rsidTr="00B42C15">
        <w:trPr>
          <w:trHeight w:val="1165"/>
        </w:trPr>
        <w:tc>
          <w:tcPr>
            <w:tcW w:w="1642" w:type="dxa"/>
          </w:tcPr>
          <w:p w:rsidR="00B42C15" w:rsidRPr="00A53525" w:rsidRDefault="00B42C15" w:rsidP="00B42C1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C15" w:rsidRPr="00A53525" w:rsidRDefault="00B42C15" w:rsidP="00B42C1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C15" w:rsidRPr="00A53525" w:rsidRDefault="00B42C15" w:rsidP="00B42C1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</w:tcPr>
          <w:p w:rsidR="00B42C15" w:rsidRDefault="00B42C15" w:rsidP="00B42C1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B42C15" w:rsidRPr="005D6B0E" w:rsidRDefault="00B42C15" w:rsidP="00B42C1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B42C15" w:rsidRDefault="00B42C15" w:rsidP="00B42C1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C15" w:rsidRPr="00A53525" w:rsidRDefault="00B42C15" w:rsidP="00B42C1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F1474" w:rsidRDefault="003F1474" w:rsidP="00B42C15">
      <w:pPr>
        <w:rPr>
          <w:b/>
          <w:sz w:val="48"/>
        </w:rPr>
      </w:pPr>
      <w:r w:rsidRPr="00212E94">
        <w:rPr>
          <w:b/>
          <w:sz w:val="48"/>
        </w:rPr>
        <w:t>ANEXO 1</w:t>
      </w:r>
    </w:p>
    <w:p w:rsidR="003F1474" w:rsidRPr="0095351C" w:rsidRDefault="003F1474" w:rsidP="003F1474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775"/>
        <w:gridCol w:w="1007"/>
        <w:gridCol w:w="1669"/>
        <w:gridCol w:w="1411"/>
        <w:gridCol w:w="892"/>
        <w:gridCol w:w="893"/>
        <w:gridCol w:w="823"/>
        <w:gridCol w:w="946"/>
        <w:gridCol w:w="328"/>
        <w:gridCol w:w="539"/>
        <w:gridCol w:w="869"/>
      </w:tblGrid>
      <w:tr w:rsidR="003F1474" w:rsidTr="007832FD"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F1474" w:rsidRPr="00376CDC" w:rsidRDefault="00905BE8" w:rsidP="007832FD">
            <w:pPr>
              <w:jc w:val="both"/>
            </w:pPr>
            <w:r>
              <w:t xml:space="preserve">Representación jurídica, </w:t>
            </w:r>
            <w:r w:rsidRPr="00376CDC">
              <w:t>consultiva</w:t>
            </w:r>
            <w:r w:rsidR="00376CDC" w:rsidRPr="00376CDC">
              <w:t xml:space="preserve"> y legal como defensor de los siniestros del parque vehicular del h. </w:t>
            </w:r>
            <w:r w:rsidR="00376CDC">
              <w:t>Ayuntamiento constitucional de S</w:t>
            </w:r>
            <w:r w:rsidR="00376CDC" w:rsidRPr="00376CDC">
              <w:t>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76CDC" w:rsidP="007832FD">
            <w:pPr>
              <w:jc w:val="both"/>
            </w:pPr>
            <w:r>
              <w:t>6</w:t>
            </w:r>
          </w:p>
        </w:tc>
      </w:tr>
      <w:tr w:rsidR="003F1474" w:rsidTr="007832FD"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F1474" w:rsidRDefault="003F1474" w:rsidP="007832FD">
            <w:pPr>
              <w:jc w:val="both"/>
            </w:pPr>
            <w:r>
              <w:t>Dirección General Jurídica</w:t>
            </w:r>
            <w:r w:rsidR="008109F0" w:rsidRPr="008109F0">
              <w:rPr>
                <w:b/>
              </w:rPr>
              <w:t>. Jefatura del Área de Siniestros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76CDC" w:rsidP="007832FD">
            <w:pPr>
              <w:jc w:val="both"/>
            </w:pPr>
            <w:r>
              <w:t>6.5</w:t>
            </w:r>
          </w:p>
        </w:tc>
      </w:tr>
      <w:tr w:rsidR="003F1474" w:rsidTr="007832FD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F1474" w:rsidRPr="008109F0" w:rsidRDefault="00905BE8" w:rsidP="008109F0">
            <w:pPr>
              <w:spacing w:line="276" w:lineRule="auto"/>
              <w:jc w:val="both"/>
              <w:rPr>
                <w:rFonts w:cstheme="minorHAnsi"/>
                <w:color w:val="292929" w:themeColor="text1" w:themeTint="F2"/>
              </w:rPr>
            </w:pPr>
            <w:r>
              <w:rPr>
                <w:rFonts w:cstheme="minorHAnsi"/>
                <w:color w:val="292929" w:themeColor="text1" w:themeTint="F2"/>
              </w:rPr>
              <w:t xml:space="preserve">Intervenir legalmente </w:t>
            </w:r>
            <w:r w:rsidR="003F1474" w:rsidRPr="001833CF">
              <w:rPr>
                <w:rFonts w:cstheme="minorHAnsi"/>
                <w:color w:val="292929" w:themeColor="text1" w:themeTint="F2"/>
              </w:rPr>
              <w:t>en todos los procedimientos de carác</w:t>
            </w:r>
            <w:r w:rsidR="003F1474">
              <w:rPr>
                <w:rFonts w:cstheme="minorHAnsi"/>
                <w:color w:val="292929" w:themeColor="text1" w:themeTint="F2"/>
              </w:rPr>
              <w:t>ter judicial o administrativo</w:t>
            </w:r>
            <w:r>
              <w:rPr>
                <w:rFonts w:cstheme="minorHAnsi"/>
                <w:color w:val="292929" w:themeColor="text1" w:themeTint="F2"/>
              </w:rPr>
              <w:t xml:space="preserve"> que </w:t>
            </w:r>
            <w:r w:rsidR="003F1474" w:rsidRPr="001833CF">
              <w:rPr>
                <w:rFonts w:cstheme="minorHAnsi"/>
                <w:color w:val="292929" w:themeColor="text1" w:themeTint="F2"/>
              </w:rPr>
              <w:t>por cualquier circunstancia se encuentre</w:t>
            </w:r>
            <w:r w:rsidR="008109F0">
              <w:rPr>
                <w:rFonts w:cstheme="minorHAnsi"/>
                <w:color w:val="292929" w:themeColor="text1" w:themeTint="F2"/>
              </w:rPr>
              <w:t>n</w:t>
            </w:r>
            <w:r w:rsidR="003F1474" w:rsidRPr="001833CF">
              <w:rPr>
                <w:rFonts w:cstheme="minorHAnsi"/>
                <w:color w:val="292929" w:themeColor="text1" w:themeTint="F2"/>
              </w:rPr>
              <w:t xml:space="preserve"> involucrado</w:t>
            </w:r>
            <w:r>
              <w:rPr>
                <w:rFonts w:cstheme="minorHAnsi"/>
                <w:color w:val="292929" w:themeColor="text1" w:themeTint="F2"/>
              </w:rPr>
              <w:t>s</w:t>
            </w:r>
            <w:r w:rsidR="008109F0">
              <w:rPr>
                <w:rFonts w:cstheme="minorHAnsi"/>
                <w:color w:val="292929" w:themeColor="text1" w:themeTint="F2"/>
              </w:rPr>
              <w:t xml:space="preserve"> los vehículos oficiales que integran el parque vehicular</w:t>
            </w:r>
            <w:r w:rsidR="003F1474" w:rsidRPr="001833CF">
              <w:rPr>
                <w:rFonts w:cstheme="minorHAnsi"/>
                <w:color w:val="292929" w:themeColor="text1" w:themeTint="F2"/>
              </w:rPr>
              <w:t xml:space="preserve"> </w:t>
            </w:r>
            <w:r w:rsidR="008109F0">
              <w:rPr>
                <w:rFonts w:cstheme="minorHAnsi"/>
                <w:color w:val="292929" w:themeColor="text1" w:themeTint="F2"/>
              </w:rPr>
              <w:t>d</w:t>
            </w:r>
            <w:r w:rsidR="003F1474" w:rsidRPr="001833CF">
              <w:rPr>
                <w:rFonts w:cstheme="minorHAnsi"/>
                <w:color w:val="292929" w:themeColor="text1" w:themeTint="F2"/>
              </w:rPr>
              <w:t>e</w:t>
            </w:r>
            <w:r w:rsidR="008109F0">
              <w:rPr>
                <w:rFonts w:cstheme="minorHAnsi"/>
                <w:color w:val="292929" w:themeColor="text1" w:themeTint="F2"/>
              </w:rPr>
              <w:t xml:space="preserve"> </w:t>
            </w:r>
            <w:r w:rsidR="003F1474" w:rsidRPr="001833CF">
              <w:rPr>
                <w:rFonts w:cstheme="minorHAnsi"/>
                <w:color w:val="292929" w:themeColor="text1" w:themeTint="F2"/>
              </w:rPr>
              <w:t>l</w:t>
            </w:r>
            <w:r w:rsidR="008109F0">
              <w:rPr>
                <w:rFonts w:cstheme="minorHAnsi"/>
                <w:color w:val="292929" w:themeColor="text1" w:themeTint="F2"/>
              </w:rPr>
              <w:t>as dependencias que integran el</w:t>
            </w:r>
            <w:r w:rsidR="003F1474" w:rsidRPr="001833CF">
              <w:rPr>
                <w:rFonts w:cstheme="minorHAnsi"/>
                <w:color w:val="292929" w:themeColor="text1" w:themeTint="F2"/>
              </w:rPr>
              <w:t xml:space="preserve"> Gobierno Municip</w:t>
            </w:r>
            <w:r w:rsidR="008109F0">
              <w:rPr>
                <w:rFonts w:cstheme="minorHAnsi"/>
                <w:color w:val="292929" w:themeColor="text1" w:themeTint="F2"/>
              </w:rPr>
              <w:t>al</w:t>
            </w:r>
            <w:r w:rsidR="00621E3A">
              <w:rPr>
                <w:rFonts w:cstheme="minorHAnsi"/>
                <w:color w:val="292929" w:themeColor="text1" w:themeTint="F2"/>
              </w:rPr>
              <w:t>, así como daños ocasionados al Municipio, por conductores particulares</w:t>
            </w:r>
            <w:r w:rsidR="002C658C">
              <w:rPr>
                <w:rFonts w:cstheme="minorHAnsi"/>
                <w:color w:val="292929" w:themeColor="text1" w:themeTint="F2"/>
              </w:rPr>
              <w:t>, las 24 horas del día, los 365 días del año</w:t>
            </w:r>
            <w:r w:rsidR="003F1474">
              <w:rPr>
                <w:rFonts w:cstheme="minorHAnsi"/>
              </w:rPr>
              <w:t>.</w:t>
            </w:r>
          </w:p>
          <w:p w:rsidR="003F1474" w:rsidRDefault="003F1474" w:rsidP="007832FD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621E3A" w:rsidRDefault="003F1474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Realizar</w:t>
            </w:r>
            <w:r w:rsidR="00621E3A">
              <w:rPr>
                <w:rFonts w:cstheme="minorHAnsi"/>
              </w:rPr>
              <w:t xml:space="preserve"> las gestiones judiciales y administrativas</w:t>
            </w:r>
            <w:r>
              <w:rPr>
                <w:rFonts w:cstheme="minorHAnsi"/>
              </w:rPr>
              <w:t>,</w:t>
            </w:r>
            <w:r w:rsidR="00621E3A">
              <w:rPr>
                <w:rFonts w:cstheme="minorHAnsi"/>
              </w:rPr>
              <w:t xml:space="preserve"> ante las dependencias gubernamen</w:t>
            </w:r>
            <w:r w:rsidR="00905BE8">
              <w:rPr>
                <w:rFonts w:cstheme="minorHAnsi"/>
              </w:rPr>
              <w:t xml:space="preserve">tales y no gubernamentales, que </w:t>
            </w:r>
            <w:r w:rsidR="00621E3A">
              <w:rPr>
                <w:rFonts w:cstheme="minorHAnsi"/>
              </w:rPr>
              <w:t>se generan para completar el proceso que requiera cada caso de los accidentes de los automotores propiedad Municipal, esto es ante:</w:t>
            </w:r>
          </w:p>
          <w:p w:rsidR="00621E3A" w:rsidRDefault="00621E3A" w:rsidP="00621E3A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621E3A" w:rsidRDefault="00621E3A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Secretaria de Movilidad del Estado de Jalisco</w:t>
            </w:r>
          </w:p>
          <w:p w:rsidR="00621E3A" w:rsidRDefault="00621E3A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Fiscalía Central del Estado de Jalisco y las Agencias del Ministerio Público</w:t>
            </w:r>
          </w:p>
          <w:p w:rsidR="00621E3A" w:rsidRDefault="00621E3A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Juzgados en materia Penal</w:t>
            </w:r>
          </w:p>
          <w:p w:rsidR="005B0884" w:rsidRDefault="00621E3A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Instituto Jalisciense de Ciencias Forenses</w:t>
            </w:r>
          </w:p>
          <w:p w:rsidR="005B0884" w:rsidRDefault="002F099C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r w:rsidR="005B0884">
              <w:rPr>
                <w:rFonts w:cstheme="minorHAnsi"/>
              </w:rPr>
              <w:t>e</w:t>
            </w:r>
            <w:r>
              <w:rPr>
                <w:rFonts w:cstheme="minorHAnsi"/>
              </w:rPr>
              <w:t>l área de siniestros se encuentran asignados dos abogados, quienes laboran por guardias</w:t>
            </w:r>
            <w:r w:rsidR="00B14E65">
              <w:rPr>
                <w:rFonts w:cstheme="minorHAnsi"/>
              </w:rPr>
              <w:t>.</w:t>
            </w:r>
          </w:p>
          <w:p w:rsidR="00B14E65" w:rsidRDefault="00B14E65" w:rsidP="00621E3A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B14E65" w:rsidRDefault="00710198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Guardia de lunes a viernes las 24 horas del día.</w:t>
            </w:r>
          </w:p>
          <w:p w:rsidR="00710198" w:rsidRDefault="00710198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Guardia de sábados, domingos y días festivos las 24 horas del día.</w:t>
            </w:r>
          </w:p>
          <w:p w:rsidR="00710198" w:rsidRDefault="00710198" w:rsidP="00621E3A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2C658C" w:rsidRPr="00905BE8" w:rsidRDefault="00710198" w:rsidP="00621E3A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área de siniestros en algunas ocasiones tiene más de un siniestro al </w:t>
            </w:r>
            <w:r>
              <w:rPr>
                <w:rFonts w:cstheme="minorHAnsi"/>
              </w:rPr>
              <w:lastRenderedPageBreak/>
              <w:t>día, esto representa que el abogado debe trasladarse a diversos lugares para cumplir con el servicio de atención legal, por lo que se requiere de mayor personal para el área.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76CDC" w:rsidP="007832FD">
            <w:pPr>
              <w:jc w:val="both"/>
            </w:pPr>
            <w:r>
              <w:t>6.5.1</w:t>
            </w:r>
          </w:p>
        </w:tc>
      </w:tr>
      <w:tr w:rsidR="003F1474" w:rsidTr="007832FD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3F1474" w:rsidRDefault="003F1474" w:rsidP="007832FD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r>
              <w:t xml:space="preserve">No. </w:t>
            </w:r>
            <w:r w:rsidR="00206A78">
              <w:t>D</w:t>
            </w:r>
            <w:r>
              <w:t>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F1474" w:rsidP="007832FD">
            <w:pPr>
              <w:jc w:val="both"/>
            </w:pPr>
          </w:p>
        </w:tc>
      </w:tr>
      <w:tr w:rsidR="003F1474" w:rsidTr="007832FD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3F1474" w:rsidRDefault="008109F0" w:rsidP="008109F0">
            <w:pPr>
              <w:jc w:val="both"/>
            </w:pPr>
            <w:r>
              <w:t>Cubrir</w:t>
            </w:r>
            <w:r w:rsidR="003F1474">
              <w:t xml:space="preserve"> el territorio que comprende el Municipio de San Pedro Tlaquepaque</w:t>
            </w:r>
            <w:r>
              <w:t xml:space="preserve"> y zona metropolitana del Estado de</w:t>
            </w:r>
            <w:r w:rsidR="003F1474">
              <w:t xml:space="preserve">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F1474" w:rsidP="007832FD">
            <w:pPr>
              <w:jc w:val="both"/>
            </w:pPr>
          </w:p>
        </w:tc>
      </w:tr>
      <w:tr w:rsidR="003F1474" w:rsidTr="007832FD"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3F1474" w:rsidRDefault="008109F0" w:rsidP="007832FD">
            <w:pPr>
              <w:jc w:val="both"/>
            </w:pPr>
            <w:r>
              <w:t>Lic. Sergio Alejandro García Gómez.- Jefe del Área de Siniestros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F1474" w:rsidP="007832FD">
            <w:pPr>
              <w:jc w:val="both"/>
            </w:pPr>
          </w:p>
        </w:tc>
      </w:tr>
      <w:tr w:rsidR="003F1474" w:rsidTr="007832FD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F1474" w:rsidRPr="007D5EB6" w:rsidRDefault="00376CDC" w:rsidP="007832FD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Intervenciones legales de representación ante siniestros vehiculares</w:t>
            </w:r>
            <w:r w:rsidR="003F1474" w:rsidRPr="007D5EB6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3F1474" w:rsidRPr="00710198" w:rsidRDefault="003F1474" w:rsidP="007832F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</w:t>
            </w:r>
            <w:r w:rsidR="00206A78">
              <w:t>m</w:t>
            </w:r>
            <w:r>
              <w:t>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F1474" w:rsidRDefault="003F1474" w:rsidP="007832FD">
            <w:pPr>
              <w:jc w:val="both"/>
            </w:pPr>
          </w:p>
        </w:tc>
      </w:tr>
      <w:tr w:rsidR="003F1474" w:rsidTr="007832FD">
        <w:tc>
          <w:tcPr>
            <w:tcW w:w="3652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3F1474" w:rsidRDefault="003F1474" w:rsidP="008E3B08">
            <w:pPr>
              <w:jc w:val="both"/>
            </w:pPr>
            <w:r>
              <w:t xml:space="preserve">Los funcionarios de Primer nivel </w:t>
            </w:r>
            <w:r w:rsidR="00850300">
              <w:t>y servidores públicos que tengan bajo su resguardo vehículos oficiales y que se vean involucrados en algún accidente</w:t>
            </w:r>
            <w:r w:rsidR="000E7D2C">
              <w:t xml:space="preserve"> </w:t>
            </w:r>
            <w:r>
              <w:t>que integran el H. Ayuntamiento Constitucional de</w:t>
            </w:r>
            <w:r w:rsidR="008E3B08">
              <w:t xml:space="preserve"> San Pedro Tlaquepaque, Jalisco</w:t>
            </w:r>
            <w:r>
              <w:rPr>
                <w:rFonts w:cstheme="minorHAnsi"/>
                <w:color w:val="292929" w:themeColor="text1" w:themeTint="F2"/>
              </w:rPr>
              <w:t>.</w:t>
            </w:r>
          </w:p>
        </w:tc>
      </w:tr>
      <w:tr w:rsidR="003F1474" w:rsidTr="007832FD">
        <w:tc>
          <w:tcPr>
            <w:tcW w:w="4599" w:type="dxa"/>
            <w:gridSpan w:val="5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Fecha de Cierre</w:t>
            </w:r>
          </w:p>
        </w:tc>
      </w:tr>
      <w:tr w:rsidR="003F1474" w:rsidTr="007832FD">
        <w:tc>
          <w:tcPr>
            <w:tcW w:w="1092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F1474" w:rsidRDefault="00951159" w:rsidP="007832FD"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F1474" w:rsidRDefault="00951159" w:rsidP="007832FD">
            <w:r>
              <w:t>31 de Diciembre del 2018</w:t>
            </w:r>
          </w:p>
        </w:tc>
      </w:tr>
      <w:tr w:rsidR="003F1474" w:rsidTr="007832FD">
        <w:tc>
          <w:tcPr>
            <w:tcW w:w="1092" w:type="dxa"/>
          </w:tcPr>
          <w:p w:rsidR="003F1474" w:rsidRDefault="003F1474" w:rsidP="007832FD">
            <w:pPr>
              <w:jc w:val="center"/>
            </w:pPr>
          </w:p>
        </w:tc>
        <w:tc>
          <w:tcPr>
            <w:tcW w:w="1060" w:type="dxa"/>
          </w:tcPr>
          <w:p w:rsidR="003F1474" w:rsidRDefault="003F1474" w:rsidP="007832FD">
            <w:pPr>
              <w:jc w:val="center"/>
            </w:pPr>
          </w:p>
        </w:tc>
        <w:tc>
          <w:tcPr>
            <w:tcW w:w="915" w:type="dxa"/>
          </w:tcPr>
          <w:p w:rsidR="003F1474" w:rsidRDefault="00CF6EAC" w:rsidP="007832FD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3F1474" w:rsidRDefault="003F1474" w:rsidP="007832FD">
            <w:pPr>
              <w:jc w:val="center"/>
            </w:pPr>
            <w:r>
              <w:t>Jurídico Consultivo Legal</w:t>
            </w:r>
          </w:p>
        </w:tc>
        <w:tc>
          <w:tcPr>
            <w:tcW w:w="1678" w:type="dxa"/>
          </w:tcPr>
          <w:p w:rsidR="003F1474" w:rsidRDefault="001F7CD6" w:rsidP="007832FD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3F1474" w:rsidRDefault="008A2037" w:rsidP="007832FD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3F1474" w:rsidRDefault="002A55D9" w:rsidP="007832FD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x</w:t>
            </w:r>
          </w:p>
        </w:tc>
      </w:tr>
      <w:tr w:rsidR="003F1474" w:rsidTr="007832FD">
        <w:tc>
          <w:tcPr>
            <w:tcW w:w="3067" w:type="dxa"/>
            <w:gridSpan w:val="3"/>
            <w:shd w:val="clear" w:color="auto" w:fill="D9D9D9" w:themeFill="background1" w:themeFillShade="D9"/>
          </w:tcPr>
          <w:p w:rsidR="003F1474" w:rsidRDefault="003F1474" w:rsidP="007832FD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3F1474" w:rsidRDefault="003F1474" w:rsidP="007832FD">
            <w:r>
              <w:t>El autorizado en el presupuesto y partidas correspondientes al ejercicio  fiscal 2017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F1474" w:rsidRDefault="003F1474" w:rsidP="007832FD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3F1474" w:rsidRDefault="003F1474" w:rsidP="007832FD"/>
        </w:tc>
        <w:tc>
          <w:tcPr>
            <w:tcW w:w="898" w:type="dxa"/>
            <w:shd w:val="clear" w:color="auto" w:fill="FABF8F" w:themeFill="accent6" w:themeFillTint="99"/>
          </w:tcPr>
          <w:p w:rsidR="003F1474" w:rsidRDefault="003F1474" w:rsidP="007832FD"/>
        </w:tc>
        <w:tc>
          <w:tcPr>
            <w:tcW w:w="825" w:type="dxa"/>
            <w:shd w:val="clear" w:color="auto" w:fill="FABF8F" w:themeFill="accent6" w:themeFillTint="99"/>
          </w:tcPr>
          <w:p w:rsidR="003F1474" w:rsidRDefault="003F1474" w:rsidP="007832FD"/>
        </w:tc>
        <w:tc>
          <w:tcPr>
            <w:tcW w:w="946" w:type="dxa"/>
            <w:shd w:val="clear" w:color="auto" w:fill="FABF8F" w:themeFill="accent6" w:themeFillTint="99"/>
          </w:tcPr>
          <w:p w:rsidR="003F1474" w:rsidRDefault="003F1474" w:rsidP="007832FD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3F1474" w:rsidRDefault="003F1474" w:rsidP="007832FD"/>
        </w:tc>
        <w:tc>
          <w:tcPr>
            <w:tcW w:w="874" w:type="dxa"/>
            <w:shd w:val="clear" w:color="auto" w:fill="FABF8F" w:themeFill="accent6" w:themeFillTint="99"/>
          </w:tcPr>
          <w:p w:rsidR="003F1474" w:rsidRDefault="003F1474" w:rsidP="007832FD"/>
        </w:tc>
      </w:tr>
    </w:tbl>
    <w:p w:rsidR="003F1474" w:rsidRPr="00B44A80" w:rsidRDefault="003F1474" w:rsidP="003F1474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3F1474" w:rsidRDefault="003F1474" w:rsidP="003F1474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3F1474" w:rsidTr="007832F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F1474" w:rsidRDefault="003F1474" w:rsidP="007832FD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F1474" w:rsidRPr="007D5EB6" w:rsidRDefault="008E3B08" w:rsidP="007832FD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Desahogar las diligencias de los procedimientos legales en defensa del municipio, </w:t>
            </w:r>
            <w:r w:rsidR="00102EE2">
              <w:rPr>
                <w:rFonts w:asciiTheme="minorHAnsi" w:eastAsia="Times New Roman" w:hAnsiTheme="minorHAnsi" w:cstheme="minorHAnsi"/>
                <w:sz w:val="22"/>
                <w:szCs w:val="22"/>
              </w:rPr>
              <w:t>en los 129 siniestros atendidos y los que se generen durante el año fiscal 2017.</w:t>
            </w:r>
          </w:p>
          <w:p w:rsidR="003F1474" w:rsidRPr="008E3B08" w:rsidRDefault="003F1474" w:rsidP="007832FD">
            <w:pPr>
              <w:rPr>
                <w:lang w:val="es-ES"/>
              </w:rPr>
            </w:pPr>
          </w:p>
        </w:tc>
      </w:tr>
      <w:tr w:rsidR="003F1474" w:rsidTr="007832F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F1474" w:rsidRDefault="003F1474" w:rsidP="007832F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F1474" w:rsidRPr="007D5EB6" w:rsidRDefault="003F1474" w:rsidP="007832FD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471">
              <w:rPr>
                <w:rFonts w:asciiTheme="minorHAnsi" w:hAnsiTheme="minorHAnsi" w:cstheme="minorHAnsi"/>
                <w:sz w:val="22"/>
                <w:szCs w:val="22"/>
              </w:rPr>
              <w:t xml:space="preserve">Los métodos </w:t>
            </w:r>
            <w:r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>de la praxis legal que c</w:t>
            </w:r>
            <w:r w:rsidR="008E3B0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orresponda a la materia </w:t>
            </w:r>
            <w:r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Admini</w:t>
            </w:r>
            <w:r w:rsidR="008E3B08">
              <w:rPr>
                <w:rFonts w:asciiTheme="minorHAnsi" w:eastAsia="Times New Roman" w:hAnsiTheme="minorHAnsi" w:cstheme="minorHAnsi"/>
                <w:sz w:val="22"/>
                <w:szCs w:val="22"/>
              </w:rPr>
              <w:t>strativa y Penal.</w:t>
            </w:r>
          </w:p>
          <w:p w:rsidR="003F1474" w:rsidRPr="00B11471" w:rsidRDefault="003F1474" w:rsidP="007832FD">
            <w:pPr>
              <w:rPr>
                <w:lang w:val="es-ES"/>
              </w:rPr>
            </w:pPr>
          </w:p>
        </w:tc>
      </w:tr>
      <w:tr w:rsidR="003F1474" w:rsidTr="007832F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F1474" w:rsidRDefault="003F1474" w:rsidP="007832FD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F1474" w:rsidRDefault="003F1474" w:rsidP="007832FD"/>
        </w:tc>
      </w:tr>
      <w:tr w:rsidR="003F1474" w:rsidTr="007832F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F1474" w:rsidRDefault="003F1474" w:rsidP="007832FD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F1474" w:rsidRDefault="003F1474" w:rsidP="007832FD"/>
        </w:tc>
      </w:tr>
      <w:tr w:rsidR="003F1474" w:rsidTr="007832FD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Largo Plazo</w:t>
            </w:r>
          </w:p>
        </w:tc>
      </w:tr>
      <w:tr w:rsidR="003F1474" w:rsidTr="007832FD">
        <w:tc>
          <w:tcPr>
            <w:tcW w:w="1356" w:type="pct"/>
            <w:vMerge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F1474" w:rsidRDefault="003F1474" w:rsidP="007832FD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3F1474" w:rsidRDefault="003F1474" w:rsidP="007832FD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3F1474" w:rsidRDefault="003F1474" w:rsidP="007832FD">
            <w:pPr>
              <w:jc w:val="center"/>
            </w:pPr>
            <w:r>
              <w:t>X</w:t>
            </w:r>
          </w:p>
        </w:tc>
      </w:tr>
      <w:tr w:rsidR="003F1474" w:rsidTr="007832FD">
        <w:tc>
          <w:tcPr>
            <w:tcW w:w="1356" w:type="pct"/>
            <w:shd w:val="clear" w:color="auto" w:fill="D9D9D9" w:themeFill="background1" w:themeFillShade="D9"/>
          </w:tcPr>
          <w:p w:rsidR="003F1474" w:rsidRDefault="003F1474" w:rsidP="007832FD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F1474" w:rsidRDefault="003F1474" w:rsidP="007832FD">
            <w:pPr>
              <w:jc w:val="center"/>
            </w:pPr>
            <w:r>
              <w:t>Formula del indicador</w:t>
            </w:r>
          </w:p>
        </w:tc>
      </w:tr>
      <w:tr w:rsidR="003F1474" w:rsidTr="007832FD">
        <w:tc>
          <w:tcPr>
            <w:tcW w:w="1356" w:type="pct"/>
            <w:shd w:val="clear" w:color="auto" w:fill="auto"/>
          </w:tcPr>
          <w:p w:rsidR="003F1474" w:rsidRDefault="00BF30CD" w:rsidP="007832FD">
            <w:pPr>
              <w:jc w:val="center"/>
            </w:pPr>
            <w:r w:rsidRPr="00BF30CD">
              <w:t>Porcentaje del año anterior (*) Valor 2017 por registrar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F1474" w:rsidRDefault="00BF30CD" w:rsidP="007832FD">
            <w:pPr>
              <w:jc w:val="center"/>
            </w:pPr>
            <w:r w:rsidRPr="00BF30CD">
              <w:t xml:space="preserve">Porcentaje esperado para 2018 (*) Meta por definir  </w:t>
            </w:r>
          </w:p>
        </w:tc>
        <w:tc>
          <w:tcPr>
            <w:tcW w:w="1010" w:type="pct"/>
            <w:shd w:val="clear" w:color="auto" w:fill="FFFFFF" w:themeFill="background1"/>
          </w:tcPr>
          <w:p w:rsidR="003F1474" w:rsidRDefault="00BF30CD" w:rsidP="007832FD">
            <w:pPr>
              <w:jc w:val="both"/>
            </w:pPr>
            <w:r w:rsidRPr="00BF30CD">
              <w:t>Porcentaje de intervenciones legales ante siniestros vehiculares atendidas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F1474" w:rsidRDefault="00BF30CD" w:rsidP="007832FD">
            <w:pPr>
              <w:jc w:val="both"/>
            </w:pPr>
            <w:r w:rsidRPr="00BF30CD">
              <w:rPr>
                <w:rFonts w:cstheme="minorHAnsi"/>
              </w:rPr>
              <w:t>(Número de intervenciones legales ante siniestros vehiculares atendidas / total de siniestros reportados) x 100</w:t>
            </w:r>
          </w:p>
        </w:tc>
      </w:tr>
      <w:tr w:rsidR="003F1474" w:rsidTr="007832FD">
        <w:tc>
          <w:tcPr>
            <w:tcW w:w="2648" w:type="pct"/>
            <w:gridSpan w:val="3"/>
            <w:shd w:val="clear" w:color="auto" w:fill="D9D9D9" w:themeFill="background1" w:themeFillShade="D9"/>
          </w:tcPr>
          <w:p w:rsidR="003F1474" w:rsidRDefault="003F1474" w:rsidP="007832F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F1474" w:rsidRDefault="003F1474" w:rsidP="007832FD"/>
        </w:tc>
      </w:tr>
    </w:tbl>
    <w:p w:rsidR="003F1474" w:rsidRDefault="003F1474" w:rsidP="003F147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3F1474" w:rsidTr="007832F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3F1474" w:rsidRPr="002B2543" w:rsidTr="007832FD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F1474" w:rsidRPr="002B2543" w:rsidRDefault="003F1474" w:rsidP="007832FD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3F1474" w:rsidRPr="002B2543" w:rsidRDefault="00951159" w:rsidP="007832F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3F1474" w:rsidRPr="002B2543" w:rsidTr="007832FD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3F1474" w:rsidRDefault="003F1474" w:rsidP="007832F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3F1474" w:rsidRPr="002B2543" w:rsidRDefault="003F1474" w:rsidP="007832F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F1474" w:rsidTr="007832FD">
        <w:trPr>
          <w:trHeight w:val="312"/>
        </w:trPr>
        <w:tc>
          <w:tcPr>
            <w:tcW w:w="0" w:type="auto"/>
            <w:shd w:val="clear" w:color="auto" w:fill="auto"/>
          </w:tcPr>
          <w:p w:rsidR="003F1474" w:rsidRPr="00EE1232" w:rsidRDefault="003F1474" w:rsidP="00E4291D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471">
              <w:rPr>
                <w:rFonts w:asciiTheme="minorHAnsi" w:hAnsiTheme="minorHAnsi" w:cstheme="minorHAnsi"/>
                <w:sz w:val="22"/>
                <w:szCs w:val="22"/>
              </w:rPr>
              <w:t xml:space="preserve">Los métodos </w:t>
            </w:r>
            <w:r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la praxis legal que corresponda la materia </w:t>
            </w:r>
            <w:r w:rsidR="00E4291D">
              <w:rPr>
                <w:rFonts w:asciiTheme="minorHAnsi" w:eastAsia="Times New Roman" w:hAnsiTheme="minorHAnsi" w:cstheme="minorHAnsi"/>
                <w:sz w:val="22"/>
                <w:szCs w:val="22"/>
              </w:rPr>
              <w:t>Administrativa y Penal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F1474" w:rsidRPr="00145F76" w:rsidRDefault="003F1474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3F1474" w:rsidRPr="00145F76" w:rsidRDefault="003F1474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06A78" w:rsidTr="007832FD">
        <w:trPr>
          <w:trHeight w:val="312"/>
        </w:trPr>
        <w:tc>
          <w:tcPr>
            <w:tcW w:w="0" w:type="auto"/>
            <w:shd w:val="clear" w:color="auto" w:fill="auto"/>
          </w:tcPr>
          <w:p w:rsidR="00206A78" w:rsidRPr="00B11471" w:rsidRDefault="00206A78" w:rsidP="00E4291D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Asistencia vial en el lugar de los hechos</w:t>
            </w:r>
          </w:p>
        </w:tc>
        <w:tc>
          <w:tcPr>
            <w:tcW w:w="240" w:type="pct"/>
            <w:shd w:val="clear" w:color="auto" w:fill="auto"/>
          </w:tcPr>
          <w:p w:rsidR="00206A78" w:rsidRPr="00206A78" w:rsidRDefault="00206A78" w:rsidP="007832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06A78" w:rsidRDefault="00206A78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06A78" w:rsidRDefault="00206A78" w:rsidP="00783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F1474" w:rsidRDefault="003F1474" w:rsidP="003F1474">
      <w:pPr>
        <w:rPr>
          <w:i/>
          <w:sz w:val="16"/>
        </w:rPr>
      </w:pPr>
    </w:p>
    <w:p w:rsidR="003F1474" w:rsidRDefault="003F1474" w:rsidP="003F1474">
      <w:pPr>
        <w:rPr>
          <w:i/>
          <w:sz w:val="16"/>
        </w:rPr>
      </w:pPr>
    </w:p>
    <w:p w:rsidR="003F1474" w:rsidRPr="00566171" w:rsidRDefault="003F1474" w:rsidP="003F1474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3F1474" w:rsidTr="007832FD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F1474" w:rsidRPr="00566171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F1474" w:rsidRPr="0095351C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F1474" w:rsidRPr="0095351C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F1474" w:rsidRPr="0095351C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F1474" w:rsidRPr="00566171" w:rsidRDefault="003F1474" w:rsidP="00783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3F1474" w:rsidRPr="00566171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F1474" w:rsidRPr="00566171" w:rsidRDefault="003F1474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F1474" w:rsidTr="007832FD">
        <w:trPr>
          <w:trHeight w:val="232"/>
        </w:trPr>
        <w:tc>
          <w:tcPr>
            <w:tcW w:w="1526" w:type="dxa"/>
            <w:vMerge/>
          </w:tcPr>
          <w:p w:rsidR="003F1474" w:rsidRDefault="003F1474" w:rsidP="007832F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F1474" w:rsidRDefault="003F1474" w:rsidP="007832FD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F1474" w:rsidRDefault="003F1474" w:rsidP="007832F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F1474" w:rsidRPr="00AB0AA2" w:rsidRDefault="003F1474" w:rsidP="00783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F1474" w:rsidRPr="00AB0AA2" w:rsidRDefault="003F1474" w:rsidP="007832F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F1474" w:rsidRPr="00AB0AA2" w:rsidRDefault="003F1474" w:rsidP="007832F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3F1474" w:rsidRDefault="003F1474" w:rsidP="007832FD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3F1474" w:rsidRDefault="003F1474" w:rsidP="007832FD">
            <w:pPr>
              <w:rPr>
                <w:i/>
                <w:sz w:val="16"/>
              </w:rPr>
            </w:pPr>
          </w:p>
        </w:tc>
      </w:tr>
      <w:tr w:rsidR="003F1474" w:rsidTr="007832FD">
        <w:trPr>
          <w:trHeight w:val="637"/>
        </w:trPr>
        <w:tc>
          <w:tcPr>
            <w:tcW w:w="1526" w:type="dxa"/>
            <w:vMerge w:val="restart"/>
            <w:vAlign w:val="center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3F1474" w:rsidRDefault="003F1474" w:rsidP="007832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Nomina Dirección General Jurídica </w:t>
            </w:r>
            <w:r w:rsidR="009422F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  <w:p w:rsidR="003F1474" w:rsidRPr="00EE1232" w:rsidRDefault="003F1474" w:rsidP="007832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1474" w:rsidRPr="00FF63B4" w:rsidRDefault="003F1474" w:rsidP="007832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E1232">
              <w:rPr>
                <w:rFonts w:ascii="Arial" w:hAnsi="Arial" w:cs="Arial"/>
                <w:sz w:val="16"/>
                <w:szCs w:val="16"/>
              </w:rPr>
              <w:t>Comisionados</w:t>
            </w:r>
            <w:r w:rsidR="00605675">
              <w:rPr>
                <w:rFonts w:ascii="Arial" w:hAnsi="Arial" w:cs="Arial"/>
                <w:sz w:val="16"/>
                <w:szCs w:val="16"/>
              </w:rPr>
              <w:t>—</w:t>
            </w:r>
            <w:r w:rsidR="009422F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1474" w:rsidRDefault="003F1474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9422F8">
              <w:rPr>
                <w:rFonts w:ascii="Arial" w:hAnsi="Arial" w:cs="Arial"/>
                <w:b/>
                <w:sz w:val="18"/>
                <w:szCs w:val="20"/>
              </w:rPr>
              <w:t>(1</w:t>
            </w:r>
            <w:r w:rsidRPr="00EE1232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:rsidR="00E25B0A" w:rsidRPr="00FF63B4" w:rsidRDefault="00E25B0A" w:rsidP="007832F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Nissan- Tsuru en malas condiciones</w:t>
            </w:r>
          </w:p>
        </w:tc>
        <w:tc>
          <w:tcPr>
            <w:tcW w:w="992" w:type="dxa"/>
            <w:shd w:val="clear" w:color="auto" w:fill="auto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Variable</w:t>
            </w:r>
          </w:p>
        </w:tc>
        <w:tc>
          <w:tcPr>
            <w:tcW w:w="1134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3F1474" w:rsidRDefault="00605675" w:rsidP="0060567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La jefatura de siniestros </w:t>
            </w:r>
            <w:r w:rsidR="003F1474">
              <w:rPr>
                <w:sz w:val="18"/>
              </w:rPr>
              <w:t xml:space="preserve">no maneja fondo </w:t>
            </w:r>
            <w:proofErr w:type="spellStart"/>
            <w:r w:rsidR="003F1474">
              <w:rPr>
                <w:sz w:val="18"/>
              </w:rPr>
              <w:t>revolvente</w:t>
            </w:r>
            <w:proofErr w:type="spellEnd"/>
          </w:p>
          <w:p w:rsidR="00605675" w:rsidRDefault="00605675" w:rsidP="007832FD">
            <w:pPr>
              <w:jc w:val="center"/>
              <w:rPr>
                <w:sz w:val="18"/>
              </w:rPr>
            </w:pPr>
          </w:p>
          <w:p w:rsidR="00605675" w:rsidRPr="006F1A5C" w:rsidRDefault="00605675" w:rsidP="0060567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apoya de gastos a comprobar los cuales son variables según el gasto que genera el trámite de cada uno de los accidentes.</w:t>
            </w:r>
          </w:p>
        </w:tc>
      </w:tr>
      <w:tr w:rsidR="003F1474" w:rsidTr="007832FD">
        <w:tc>
          <w:tcPr>
            <w:tcW w:w="1526" w:type="dxa"/>
            <w:vMerge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3F1474" w:rsidRPr="00FF63B4" w:rsidRDefault="00605675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Variable</w:t>
            </w:r>
          </w:p>
        </w:tc>
        <w:tc>
          <w:tcPr>
            <w:tcW w:w="1134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F1474" w:rsidRPr="00FF63B4" w:rsidRDefault="003F1474" w:rsidP="007832FD">
            <w:pPr>
              <w:rPr>
                <w:i/>
                <w:sz w:val="18"/>
              </w:rPr>
            </w:pPr>
          </w:p>
        </w:tc>
      </w:tr>
      <w:tr w:rsidR="003F1474" w:rsidTr="007832FD">
        <w:tc>
          <w:tcPr>
            <w:tcW w:w="1526" w:type="dxa"/>
            <w:vMerge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F1474" w:rsidRDefault="003F1474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  <w:r w:rsidR="00087EE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087EE7">
              <w:rPr>
                <w:rFonts w:ascii="Arial" w:hAnsi="Arial" w:cs="Arial"/>
                <w:b/>
                <w:sz w:val="18"/>
                <w:szCs w:val="20"/>
              </w:rPr>
              <w:t xml:space="preserve">(1) </w:t>
            </w:r>
            <w:r w:rsidR="00E25B0A">
              <w:rPr>
                <w:rFonts w:ascii="Arial" w:hAnsi="Arial" w:cs="Arial"/>
                <w:b/>
                <w:sz w:val="18"/>
                <w:szCs w:val="20"/>
              </w:rPr>
              <w:t>equipo que es propiedad del abogado de siniestros.</w:t>
            </w:r>
          </w:p>
          <w:p w:rsidR="005C68D7" w:rsidRDefault="005C68D7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C68D7" w:rsidRDefault="005C68D7" w:rsidP="007832F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Material de Oficina.- </w:t>
            </w:r>
            <w:r>
              <w:rPr>
                <w:rFonts w:ascii="Arial" w:hAnsi="Arial" w:cs="Arial"/>
                <w:sz w:val="18"/>
                <w:szCs w:val="20"/>
              </w:rPr>
              <w:t>se entrega parte proporcional del material autorizado por proveeduría mensualmente a la Dirección General Ju</w:t>
            </w:r>
            <w:r w:rsidR="00526EFA">
              <w:rPr>
                <w:rFonts w:ascii="Arial" w:hAnsi="Arial" w:cs="Arial"/>
                <w:sz w:val="18"/>
                <w:szCs w:val="20"/>
              </w:rPr>
              <w:t>rídica, el cual es insuficiente, en razón de que se tiene que rendir informe por siniestro atendido a Diversas dependencias del Ayuntamiento.</w:t>
            </w:r>
          </w:p>
          <w:p w:rsidR="00526EFA" w:rsidRDefault="00526EFA" w:rsidP="007832FD">
            <w:pPr>
              <w:rPr>
                <w:rFonts w:ascii="Arial" w:hAnsi="Arial" w:cs="Arial"/>
                <w:sz w:val="18"/>
                <w:szCs w:val="20"/>
              </w:rPr>
            </w:pPr>
          </w:p>
          <w:p w:rsidR="00526EFA" w:rsidRDefault="00526EFA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26EFA">
              <w:rPr>
                <w:rFonts w:ascii="Arial" w:hAnsi="Arial" w:cs="Arial"/>
                <w:b/>
                <w:sz w:val="18"/>
                <w:szCs w:val="20"/>
              </w:rPr>
              <w:t>Bienes de Activo fijo inventario</w:t>
            </w:r>
          </w:p>
          <w:p w:rsidR="00526EFA" w:rsidRDefault="00526EFA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26EFA" w:rsidRPr="00526EFA" w:rsidRDefault="00526EFA" w:rsidP="007832F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 de los cajones de Archivero metálico de la Dirección General Jurídica.</w:t>
            </w:r>
          </w:p>
          <w:p w:rsidR="00CF6EAC" w:rsidRDefault="00CF6EAC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F6EAC" w:rsidRPr="00087EE7" w:rsidRDefault="00CF6EAC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3F1474" w:rsidRPr="00FF63B4" w:rsidRDefault="00CF6EAC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F1474" w:rsidRPr="00FF63B4" w:rsidRDefault="003F1474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F1474" w:rsidRPr="00FF63B4" w:rsidRDefault="003F1474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F1474" w:rsidRPr="00FF63B4" w:rsidRDefault="003F1474" w:rsidP="007832FD">
            <w:pPr>
              <w:rPr>
                <w:i/>
                <w:sz w:val="18"/>
              </w:rPr>
            </w:pPr>
          </w:p>
        </w:tc>
      </w:tr>
    </w:tbl>
    <w:p w:rsidR="003F1474" w:rsidRDefault="003F1474" w:rsidP="00212E94">
      <w:pPr>
        <w:rPr>
          <w:i/>
          <w:sz w:val="16"/>
        </w:rPr>
      </w:pPr>
    </w:p>
    <w:sectPr w:rsidR="003F147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4B" w:rsidRDefault="003B134B" w:rsidP="00831F7E">
      <w:pPr>
        <w:spacing w:after="0" w:line="240" w:lineRule="auto"/>
      </w:pPr>
      <w:r>
        <w:separator/>
      </w:r>
    </w:p>
  </w:endnote>
  <w:endnote w:type="continuationSeparator" w:id="0">
    <w:p w:rsidR="003B134B" w:rsidRDefault="003B134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4B" w:rsidRDefault="003B134B" w:rsidP="00831F7E">
      <w:pPr>
        <w:spacing w:after="0" w:line="240" w:lineRule="auto"/>
      </w:pPr>
      <w:r>
        <w:separator/>
      </w:r>
    </w:p>
  </w:footnote>
  <w:footnote w:type="continuationSeparator" w:id="0">
    <w:p w:rsidR="003B134B" w:rsidRDefault="003B134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1780"/>
    <w:rsid w:val="0003322C"/>
    <w:rsid w:val="00045207"/>
    <w:rsid w:val="000473B9"/>
    <w:rsid w:val="00047523"/>
    <w:rsid w:val="00077A68"/>
    <w:rsid w:val="00084464"/>
    <w:rsid w:val="00087EE7"/>
    <w:rsid w:val="00094BAF"/>
    <w:rsid w:val="000A0737"/>
    <w:rsid w:val="000C70C7"/>
    <w:rsid w:val="000D0701"/>
    <w:rsid w:val="000D078C"/>
    <w:rsid w:val="000D5483"/>
    <w:rsid w:val="000D76A0"/>
    <w:rsid w:val="000E7D2C"/>
    <w:rsid w:val="000F14EB"/>
    <w:rsid w:val="00102EE2"/>
    <w:rsid w:val="00107609"/>
    <w:rsid w:val="0011248D"/>
    <w:rsid w:val="00115B5F"/>
    <w:rsid w:val="00121462"/>
    <w:rsid w:val="00125356"/>
    <w:rsid w:val="00135926"/>
    <w:rsid w:val="001451B0"/>
    <w:rsid w:val="00145F76"/>
    <w:rsid w:val="0015123E"/>
    <w:rsid w:val="00153BBB"/>
    <w:rsid w:val="00163AC8"/>
    <w:rsid w:val="001833CF"/>
    <w:rsid w:val="00191343"/>
    <w:rsid w:val="00195B59"/>
    <w:rsid w:val="001A5007"/>
    <w:rsid w:val="001A5139"/>
    <w:rsid w:val="001C1D2F"/>
    <w:rsid w:val="001D2A9F"/>
    <w:rsid w:val="001D4E0E"/>
    <w:rsid w:val="001F5482"/>
    <w:rsid w:val="001F5B4A"/>
    <w:rsid w:val="001F7CD6"/>
    <w:rsid w:val="00206A78"/>
    <w:rsid w:val="00210791"/>
    <w:rsid w:val="00212E94"/>
    <w:rsid w:val="0021498C"/>
    <w:rsid w:val="0022207C"/>
    <w:rsid w:val="00234D3D"/>
    <w:rsid w:val="00244BBA"/>
    <w:rsid w:val="00283259"/>
    <w:rsid w:val="0028733C"/>
    <w:rsid w:val="002A55D9"/>
    <w:rsid w:val="002B2543"/>
    <w:rsid w:val="002C48EE"/>
    <w:rsid w:val="002C658C"/>
    <w:rsid w:val="002D2FAC"/>
    <w:rsid w:val="002D4C63"/>
    <w:rsid w:val="002E08B6"/>
    <w:rsid w:val="002E5CCC"/>
    <w:rsid w:val="002F099C"/>
    <w:rsid w:val="003409C9"/>
    <w:rsid w:val="00354265"/>
    <w:rsid w:val="0035529E"/>
    <w:rsid w:val="00361D50"/>
    <w:rsid w:val="003751A7"/>
    <w:rsid w:val="00376CDC"/>
    <w:rsid w:val="0038034B"/>
    <w:rsid w:val="003812B5"/>
    <w:rsid w:val="00393FB9"/>
    <w:rsid w:val="0039728D"/>
    <w:rsid w:val="003978F6"/>
    <w:rsid w:val="003B134B"/>
    <w:rsid w:val="003C3FD5"/>
    <w:rsid w:val="003C42A3"/>
    <w:rsid w:val="003F1474"/>
    <w:rsid w:val="003F1857"/>
    <w:rsid w:val="00414D92"/>
    <w:rsid w:val="00415510"/>
    <w:rsid w:val="0042122F"/>
    <w:rsid w:val="00453D56"/>
    <w:rsid w:val="004840BF"/>
    <w:rsid w:val="00485EB9"/>
    <w:rsid w:val="00492863"/>
    <w:rsid w:val="004A06C5"/>
    <w:rsid w:val="004A6089"/>
    <w:rsid w:val="004B17E0"/>
    <w:rsid w:val="004D73DA"/>
    <w:rsid w:val="004E1777"/>
    <w:rsid w:val="004E5503"/>
    <w:rsid w:val="00506A61"/>
    <w:rsid w:val="00507023"/>
    <w:rsid w:val="005132E8"/>
    <w:rsid w:val="00526EFA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2C9C"/>
    <w:rsid w:val="00593156"/>
    <w:rsid w:val="005941EE"/>
    <w:rsid w:val="00597192"/>
    <w:rsid w:val="005A4501"/>
    <w:rsid w:val="005A48A2"/>
    <w:rsid w:val="005B0884"/>
    <w:rsid w:val="005B6A6B"/>
    <w:rsid w:val="005B7B26"/>
    <w:rsid w:val="005C68D7"/>
    <w:rsid w:val="005C6958"/>
    <w:rsid w:val="005D168F"/>
    <w:rsid w:val="005D3CE9"/>
    <w:rsid w:val="005D6B0E"/>
    <w:rsid w:val="005E58EB"/>
    <w:rsid w:val="005F04CD"/>
    <w:rsid w:val="0060146C"/>
    <w:rsid w:val="00605675"/>
    <w:rsid w:val="00621E3A"/>
    <w:rsid w:val="006235EC"/>
    <w:rsid w:val="0062659F"/>
    <w:rsid w:val="00640878"/>
    <w:rsid w:val="00644413"/>
    <w:rsid w:val="00650F82"/>
    <w:rsid w:val="00663511"/>
    <w:rsid w:val="006637AB"/>
    <w:rsid w:val="00663E7F"/>
    <w:rsid w:val="0068316A"/>
    <w:rsid w:val="00691B6A"/>
    <w:rsid w:val="00697266"/>
    <w:rsid w:val="006C1395"/>
    <w:rsid w:val="006C4E80"/>
    <w:rsid w:val="006C69C6"/>
    <w:rsid w:val="006E48D8"/>
    <w:rsid w:val="006F0539"/>
    <w:rsid w:val="006F0993"/>
    <w:rsid w:val="006F1A5C"/>
    <w:rsid w:val="00700C4B"/>
    <w:rsid w:val="007031DE"/>
    <w:rsid w:val="0070464D"/>
    <w:rsid w:val="00710198"/>
    <w:rsid w:val="00741539"/>
    <w:rsid w:val="00742FF7"/>
    <w:rsid w:val="00754865"/>
    <w:rsid w:val="00762157"/>
    <w:rsid w:val="00775E30"/>
    <w:rsid w:val="007832FD"/>
    <w:rsid w:val="00794ACD"/>
    <w:rsid w:val="007A47F9"/>
    <w:rsid w:val="007D502B"/>
    <w:rsid w:val="007D55F2"/>
    <w:rsid w:val="007D5EB6"/>
    <w:rsid w:val="007E1B4E"/>
    <w:rsid w:val="007F293E"/>
    <w:rsid w:val="00803C8A"/>
    <w:rsid w:val="008109F0"/>
    <w:rsid w:val="00831976"/>
    <w:rsid w:val="00831F7E"/>
    <w:rsid w:val="00832419"/>
    <w:rsid w:val="008353B2"/>
    <w:rsid w:val="00850300"/>
    <w:rsid w:val="00863CFB"/>
    <w:rsid w:val="00865183"/>
    <w:rsid w:val="0087269A"/>
    <w:rsid w:val="008823BE"/>
    <w:rsid w:val="008A2037"/>
    <w:rsid w:val="008B03B5"/>
    <w:rsid w:val="008C7542"/>
    <w:rsid w:val="008D1CEE"/>
    <w:rsid w:val="008D3779"/>
    <w:rsid w:val="008D3FDC"/>
    <w:rsid w:val="008E3B08"/>
    <w:rsid w:val="008F71F3"/>
    <w:rsid w:val="00901996"/>
    <w:rsid w:val="00905BE8"/>
    <w:rsid w:val="009109C2"/>
    <w:rsid w:val="00915E01"/>
    <w:rsid w:val="009170D4"/>
    <w:rsid w:val="00924A6B"/>
    <w:rsid w:val="009269F6"/>
    <w:rsid w:val="009422F8"/>
    <w:rsid w:val="00944212"/>
    <w:rsid w:val="0095054C"/>
    <w:rsid w:val="00951159"/>
    <w:rsid w:val="0095351C"/>
    <w:rsid w:val="009536D5"/>
    <w:rsid w:val="00954351"/>
    <w:rsid w:val="00976E2A"/>
    <w:rsid w:val="00982039"/>
    <w:rsid w:val="00991771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3A68"/>
    <w:rsid w:val="00A25173"/>
    <w:rsid w:val="00A316F5"/>
    <w:rsid w:val="00A43C95"/>
    <w:rsid w:val="00A465A0"/>
    <w:rsid w:val="00A53855"/>
    <w:rsid w:val="00A54029"/>
    <w:rsid w:val="00A569B9"/>
    <w:rsid w:val="00A57343"/>
    <w:rsid w:val="00A65F50"/>
    <w:rsid w:val="00AA4922"/>
    <w:rsid w:val="00AB52C1"/>
    <w:rsid w:val="00AD1A20"/>
    <w:rsid w:val="00AD4ED4"/>
    <w:rsid w:val="00AD667C"/>
    <w:rsid w:val="00AF641E"/>
    <w:rsid w:val="00AF730C"/>
    <w:rsid w:val="00B11471"/>
    <w:rsid w:val="00B14E65"/>
    <w:rsid w:val="00B1501F"/>
    <w:rsid w:val="00B2763D"/>
    <w:rsid w:val="00B42C15"/>
    <w:rsid w:val="00B44A80"/>
    <w:rsid w:val="00B62EF9"/>
    <w:rsid w:val="00B71F35"/>
    <w:rsid w:val="00B921CD"/>
    <w:rsid w:val="00BD454F"/>
    <w:rsid w:val="00BE28A4"/>
    <w:rsid w:val="00BF30CD"/>
    <w:rsid w:val="00BF4795"/>
    <w:rsid w:val="00BF7FBA"/>
    <w:rsid w:val="00C01683"/>
    <w:rsid w:val="00C05FC8"/>
    <w:rsid w:val="00C12013"/>
    <w:rsid w:val="00C22639"/>
    <w:rsid w:val="00C31B28"/>
    <w:rsid w:val="00C3208D"/>
    <w:rsid w:val="00C517DC"/>
    <w:rsid w:val="00C73492"/>
    <w:rsid w:val="00C80FAF"/>
    <w:rsid w:val="00C81B35"/>
    <w:rsid w:val="00C96E26"/>
    <w:rsid w:val="00CB23FD"/>
    <w:rsid w:val="00CF19B4"/>
    <w:rsid w:val="00CF6EAC"/>
    <w:rsid w:val="00D0190B"/>
    <w:rsid w:val="00D22792"/>
    <w:rsid w:val="00D30CC3"/>
    <w:rsid w:val="00D3511F"/>
    <w:rsid w:val="00D419E5"/>
    <w:rsid w:val="00D50738"/>
    <w:rsid w:val="00D61342"/>
    <w:rsid w:val="00D81A12"/>
    <w:rsid w:val="00DA1F68"/>
    <w:rsid w:val="00DA31BD"/>
    <w:rsid w:val="00DB0FA4"/>
    <w:rsid w:val="00DC13B1"/>
    <w:rsid w:val="00DC1D18"/>
    <w:rsid w:val="00DF3242"/>
    <w:rsid w:val="00E0231C"/>
    <w:rsid w:val="00E25B0A"/>
    <w:rsid w:val="00E30C7A"/>
    <w:rsid w:val="00E32044"/>
    <w:rsid w:val="00E4291D"/>
    <w:rsid w:val="00E57798"/>
    <w:rsid w:val="00E62600"/>
    <w:rsid w:val="00E6571B"/>
    <w:rsid w:val="00E81D19"/>
    <w:rsid w:val="00E82C33"/>
    <w:rsid w:val="00E91F9A"/>
    <w:rsid w:val="00EA6E16"/>
    <w:rsid w:val="00EB3B96"/>
    <w:rsid w:val="00ED521E"/>
    <w:rsid w:val="00EE1232"/>
    <w:rsid w:val="00EF78FF"/>
    <w:rsid w:val="00F13C60"/>
    <w:rsid w:val="00F150E9"/>
    <w:rsid w:val="00F20502"/>
    <w:rsid w:val="00F322DC"/>
    <w:rsid w:val="00F42F74"/>
    <w:rsid w:val="00F44230"/>
    <w:rsid w:val="00F477E0"/>
    <w:rsid w:val="00F542C1"/>
    <w:rsid w:val="00F8764B"/>
    <w:rsid w:val="00F94878"/>
    <w:rsid w:val="00FA0FEA"/>
    <w:rsid w:val="00FA4CA7"/>
    <w:rsid w:val="00FA5E7E"/>
    <w:rsid w:val="00FD4785"/>
    <w:rsid w:val="00FD483F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7D5E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7D5E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2016-11-22T21:00:00Z</cp:lastPrinted>
  <dcterms:created xsi:type="dcterms:W3CDTF">2017-11-17T16:16:00Z</dcterms:created>
  <dcterms:modified xsi:type="dcterms:W3CDTF">2018-03-06T22:57:00Z</dcterms:modified>
</cp:coreProperties>
</file>