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B8E" w:rsidRDefault="00687B8E" w:rsidP="00687B8E">
      <w:pPr>
        <w:tabs>
          <w:tab w:val="center" w:pos="6502"/>
          <w:tab w:val="left" w:pos="11434"/>
        </w:tabs>
        <w:rPr>
          <w:b/>
          <w:sz w:val="48"/>
        </w:rPr>
      </w:pPr>
      <w:bookmarkStart w:id="0" w:name="_GoBack"/>
      <w:bookmarkEnd w:id="0"/>
      <w:r>
        <w:rPr>
          <w:b/>
          <w:noProof/>
          <w:sz w:val="4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7458710</wp:posOffset>
            </wp:positionH>
            <wp:positionV relativeFrom="paragraph">
              <wp:posOffset>177166</wp:posOffset>
            </wp:positionV>
            <wp:extent cx="679450" cy="836964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78" cy="836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7B8E" w:rsidRDefault="00195B59" w:rsidP="00687B8E">
      <w:pPr>
        <w:tabs>
          <w:tab w:val="center" w:pos="6502"/>
          <w:tab w:val="left" w:pos="11434"/>
        </w:tabs>
        <w:rPr>
          <w:sz w:val="28"/>
        </w:rPr>
      </w:pPr>
      <w:r w:rsidRPr="00212E94">
        <w:rPr>
          <w:b/>
          <w:sz w:val="48"/>
        </w:rPr>
        <w:t>ANEXO 1</w:t>
      </w:r>
      <w:r w:rsidR="00687B8E">
        <w:rPr>
          <w:b/>
          <w:sz w:val="48"/>
        </w:rPr>
        <w:t xml:space="preserve">: 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30"/>
        <w:gridCol w:w="542"/>
        <w:gridCol w:w="872"/>
      </w:tblGrid>
      <w:tr w:rsidR="008D4193" w:rsidTr="007D6BE6">
        <w:tc>
          <w:tcPr>
            <w:tcW w:w="3652" w:type="dxa"/>
            <w:gridSpan w:val="4"/>
            <w:shd w:val="clear" w:color="auto" w:fill="D9D9D9" w:themeFill="background1" w:themeFillShade="D9"/>
          </w:tcPr>
          <w:p w:rsidR="008D4193" w:rsidRDefault="008D4193" w:rsidP="008D4193">
            <w:r>
              <w:t>A)Nombre del programa/proyecto/servicio/campaña</w:t>
            </w:r>
          </w:p>
        </w:tc>
        <w:tc>
          <w:tcPr>
            <w:tcW w:w="6662" w:type="dxa"/>
            <w:gridSpan w:val="6"/>
            <w:vAlign w:val="center"/>
          </w:tcPr>
          <w:p w:rsidR="008D4193" w:rsidRDefault="00635A47" w:rsidP="00635A47">
            <w:pPr>
              <w:jc w:val="both"/>
            </w:pPr>
            <w:r w:rsidRPr="00635A47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Programa de capacitación y profesionalización del personal de la Dirección de la Unidad de Transparencia.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8D4193" w:rsidRDefault="008D4193" w:rsidP="008D4193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8D4193" w:rsidRDefault="007D6BE6" w:rsidP="004E47FD">
            <w:pPr>
              <w:jc w:val="both"/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Dirección de la Unidad de Transparencia</w:t>
            </w:r>
            <w:r w:rsidR="00144D60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7D6BE6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8D4193" w:rsidRDefault="008D4193" w:rsidP="008D4193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  <w:vAlign w:val="center"/>
          </w:tcPr>
          <w:p w:rsidR="008D4193" w:rsidRPr="007D6BE6" w:rsidRDefault="007D6BE6" w:rsidP="00635A47">
            <w:pPr>
              <w:jc w:val="both"/>
            </w:pPr>
            <w:r w:rsidRPr="007D6BE6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Este programa </w:t>
            </w:r>
            <w:r w:rsidR="00635A47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resuelve la problemática de superar los conocimientos, habilidades y competencias de los servidores públicos que laboran en la Unidad de Transparencia.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8D4193" w:rsidRDefault="008D4193" w:rsidP="008D4193"/>
        </w:tc>
        <w:tc>
          <w:tcPr>
            <w:tcW w:w="6662" w:type="dxa"/>
            <w:gridSpan w:val="6"/>
            <w:vMerge/>
          </w:tcPr>
          <w:p w:rsidR="008D4193" w:rsidRDefault="008D4193" w:rsidP="004E47FD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4E47FD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8D4193" w:rsidRDefault="008D4193" w:rsidP="008D4193">
            <w:r>
              <w:t>D) Ubicación Geográfica / Cobertura  de Colonias</w:t>
            </w:r>
          </w:p>
        </w:tc>
        <w:tc>
          <w:tcPr>
            <w:tcW w:w="6662" w:type="dxa"/>
            <w:gridSpan w:val="6"/>
            <w:vMerge w:val="restart"/>
            <w:vAlign w:val="center"/>
          </w:tcPr>
          <w:p w:rsidR="008D4193" w:rsidRDefault="004E47FD" w:rsidP="00635A47">
            <w:pPr>
              <w:jc w:val="both"/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La cobertura del programa </w:t>
            </w:r>
            <w:r w:rsidR="007A1B7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representa al personal de</w:t>
            </w:r>
            <w:r w:rsidR="00635A47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</w:t>
            </w:r>
            <w:r w:rsidR="007A1B7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l</w:t>
            </w:r>
            <w:r w:rsidR="00635A47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a Unidad de Transparencia del</w:t>
            </w:r>
            <w:r w:rsidR="007A1B7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H. Ayuntamiento de San Pedro Tlaquepaque, específicamente</w:t>
            </w:r>
            <w:r w:rsidR="00635A47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. Sin embargo el beneficio se reflejará también para </w:t>
            </w:r>
            <w:r w:rsidR="007A1B7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aquellos </w:t>
            </w:r>
            <w:r w:rsidR="00635A47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ciudadanos </w:t>
            </w:r>
            <w:r w:rsidR="007A1B7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que</w:t>
            </w:r>
            <w:r w:rsidR="00635A47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acudan o hagan uso de la propia Unidad</w:t>
            </w:r>
            <w:r w:rsidR="007A1B79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 xml:space="preserve"> Indicador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8D4193" w:rsidRDefault="008D4193" w:rsidP="008D4193"/>
        </w:tc>
        <w:tc>
          <w:tcPr>
            <w:tcW w:w="6662" w:type="dxa"/>
            <w:gridSpan w:val="6"/>
            <w:vMerge/>
          </w:tcPr>
          <w:p w:rsidR="008D4193" w:rsidRDefault="008D4193" w:rsidP="004E47FD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8D4193" w:rsidRDefault="008D4193" w:rsidP="008D4193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8D4193" w:rsidRDefault="004E47FD" w:rsidP="004E47FD">
            <w:pPr>
              <w:jc w:val="both"/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Mtro. Otoniel Varas de Valdez González.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4E47FD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8D4193" w:rsidRDefault="008D4193" w:rsidP="008D4193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  <w:vAlign w:val="center"/>
          </w:tcPr>
          <w:p w:rsidR="008D4193" w:rsidRDefault="004E47FD" w:rsidP="00635A47">
            <w:pPr>
              <w:jc w:val="both"/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El objetivo específico de este programa consiste en </w:t>
            </w:r>
            <w:r w:rsidR="00635A47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que los integrantes de la Unidad de Transparencia adquieran conocimiento y desarrollen habilidades para ser mejores servidores públicos.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8D4193" w:rsidRDefault="008D4193" w:rsidP="008D4193"/>
        </w:tc>
        <w:tc>
          <w:tcPr>
            <w:tcW w:w="6662" w:type="dxa"/>
            <w:gridSpan w:val="6"/>
            <w:vMerge/>
          </w:tcPr>
          <w:p w:rsidR="008D4193" w:rsidRDefault="008D4193" w:rsidP="008D419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8D4193" w:rsidRDefault="008D4193" w:rsidP="008D4193">
            <w:r>
              <w:t>G) Perfil de la población atendida o beneficiarios.</w:t>
            </w:r>
          </w:p>
        </w:tc>
        <w:tc>
          <w:tcPr>
            <w:tcW w:w="9356" w:type="dxa"/>
            <w:gridSpan w:val="10"/>
          </w:tcPr>
          <w:p w:rsidR="008D4193" w:rsidRDefault="00635A47" w:rsidP="00635A47">
            <w:pPr>
              <w:jc w:val="both"/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Los beneficiarios directos son los funcionarios de la Unidad de Transparencia, sin embargo los beneficiarios indirectos son aquellos ciudadanos que acudan a la propia Unidad para los servicios que ésta se encuentra obligada a proveer.</w:t>
            </w:r>
          </w:p>
        </w:tc>
      </w:tr>
      <w:tr w:rsidR="008D4193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Fecha de Cierre</w:t>
            </w:r>
          </w:p>
        </w:tc>
      </w:tr>
      <w:tr w:rsidR="008D4193" w:rsidTr="00121462">
        <w:tc>
          <w:tcPr>
            <w:tcW w:w="1092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8D4193" w:rsidRPr="00050323" w:rsidRDefault="00050323" w:rsidP="008D4193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050323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Enero de 2018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8D4193" w:rsidRPr="00050323" w:rsidRDefault="00050323" w:rsidP="008D4193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Jun</w:t>
            </w:r>
            <w:r w:rsidRPr="00050323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io de 2018</w:t>
            </w:r>
          </w:p>
        </w:tc>
      </w:tr>
      <w:tr w:rsidR="00635A47" w:rsidTr="00121462">
        <w:tc>
          <w:tcPr>
            <w:tcW w:w="1092" w:type="dxa"/>
          </w:tcPr>
          <w:p w:rsidR="008D4193" w:rsidRDefault="00D341E0" w:rsidP="00D341E0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8D4193" w:rsidRDefault="008D4193" w:rsidP="008D4193"/>
        </w:tc>
        <w:tc>
          <w:tcPr>
            <w:tcW w:w="915" w:type="dxa"/>
          </w:tcPr>
          <w:p w:rsidR="008D4193" w:rsidRDefault="00D341E0" w:rsidP="008D4193">
            <w:r>
              <w:t xml:space="preserve">      </w:t>
            </w:r>
          </w:p>
        </w:tc>
        <w:tc>
          <w:tcPr>
            <w:tcW w:w="1532" w:type="dxa"/>
            <w:gridSpan w:val="2"/>
          </w:tcPr>
          <w:p w:rsidR="008D4193" w:rsidRDefault="008D4193" w:rsidP="008D4193">
            <w:pPr>
              <w:jc w:val="center"/>
            </w:pPr>
          </w:p>
        </w:tc>
        <w:tc>
          <w:tcPr>
            <w:tcW w:w="1678" w:type="dxa"/>
          </w:tcPr>
          <w:p w:rsidR="008D4193" w:rsidRDefault="00635A47" w:rsidP="008D4193">
            <w:pPr>
              <w:jc w:val="center"/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</w:t>
            </w:r>
            <w:r w:rsidR="00A165E8" w:rsidRPr="00A165E8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D4193" w:rsidRDefault="00635A47" w:rsidP="008D4193">
            <w:pPr>
              <w:jc w:val="center"/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8</w:t>
            </w:r>
            <w:r w:rsidR="00A165E8" w:rsidRPr="00A165E8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x</w:t>
            </w:r>
          </w:p>
        </w:tc>
      </w:tr>
      <w:tr w:rsidR="00635A47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8D4193" w:rsidRDefault="008D4193" w:rsidP="008D4193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8D4193" w:rsidRDefault="004E47FD" w:rsidP="00635A47">
            <w:pPr>
              <w:jc w:val="center"/>
            </w:pPr>
            <w:r w:rsidRPr="004E47F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$</w:t>
            </w:r>
            <w:r w:rsidR="00635A47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60.000</w:t>
            </w:r>
            <w:r w:rsidRPr="004E47FD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8D4193" w:rsidRDefault="008D4193" w:rsidP="008D4193"/>
        </w:tc>
        <w:tc>
          <w:tcPr>
            <w:tcW w:w="898" w:type="dxa"/>
            <w:shd w:val="clear" w:color="auto" w:fill="FABF8F" w:themeFill="accent6" w:themeFillTint="99"/>
          </w:tcPr>
          <w:p w:rsidR="008D4193" w:rsidRDefault="008D4193" w:rsidP="008D4193"/>
        </w:tc>
        <w:tc>
          <w:tcPr>
            <w:tcW w:w="825" w:type="dxa"/>
            <w:shd w:val="clear" w:color="auto" w:fill="FABF8F" w:themeFill="accent6" w:themeFillTint="99"/>
          </w:tcPr>
          <w:p w:rsidR="008D4193" w:rsidRDefault="008D4193" w:rsidP="008D4193"/>
        </w:tc>
        <w:tc>
          <w:tcPr>
            <w:tcW w:w="946" w:type="dxa"/>
            <w:shd w:val="clear" w:color="auto" w:fill="FABF8F" w:themeFill="accent6" w:themeFillTint="99"/>
          </w:tcPr>
          <w:p w:rsidR="008D4193" w:rsidRDefault="008D4193" w:rsidP="008D4193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  <w:tc>
          <w:tcPr>
            <w:tcW w:w="874" w:type="dxa"/>
            <w:shd w:val="clear" w:color="auto" w:fill="FABF8F" w:themeFill="accent6" w:themeFillTint="99"/>
          </w:tcPr>
          <w:p w:rsidR="008D4193" w:rsidRDefault="008D4193" w:rsidP="008D4193"/>
        </w:tc>
      </w:tr>
    </w:tbl>
    <w:p w:rsidR="00145F76" w:rsidRDefault="00145F76">
      <w:r>
        <w:br w:type="page"/>
      </w:r>
    </w:p>
    <w:p w:rsidR="00191343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  <w:r>
        <w:rPr>
          <w:b/>
          <w:noProof/>
          <w:sz w:val="48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B59"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 w:rsidR="00191343">
        <w:rPr>
          <w:sz w:val="28"/>
        </w:rPr>
        <w:t>OPERACIÓN DE LA PROPUESTA</w:t>
      </w:r>
    </w:p>
    <w:p w:rsidR="00687B8E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051"/>
        <w:gridCol w:w="804"/>
        <w:gridCol w:w="763"/>
        <w:gridCol w:w="916"/>
        <w:gridCol w:w="817"/>
        <w:gridCol w:w="896"/>
        <w:gridCol w:w="799"/>
        <w:gridCol w:w="730"/>
        <w:gridCol w:w="819"/>
        <w:gridCol w:w="754"/>
        <w:gridCol w:w="821"/>
        <w:gridCol w:w="879"/>
        <w:gridCol w:w="734"/>
      </w:tblGrid>
      <w:tr w:rsidR="008D4193" w:rsidTr="00050323">
        <w:trPr>
          <w:trHeight w:val="547"/>
        </w:trPr>
        <w:tc>
          <w:tcPr>
            <w:tcW w:w="1191" w:type="pct"/>
            <w:shd w:val="clear" w:color="auto" w:fill="D9D9D9" w:themeFill="background1" w:themeFillShade="D9"/>
          </w:tcPr>
          <w:p w:rsidR="008D4193" w:rsidRDefault="008D4193" w:rsidP="008D4193">
            <w:r>
              <w:t xml:space="preserve">A)Actividades a realizar para la obtención del producto esperado </w:t>
            </w:r>
          </w:p>
        </w:tc>
        <w:tc>
          <w:tcPr>
            <w:tcW w:w="3809" w:type="pct"/>
            <w:gridSpan w:val="12"/>
            <w:shd w:val="clear" w:color="auto" w:fill="auto"/>
            <w:vAlign w:val="center"/>
          </w:tcPr>
          <w:p w:rsidR="008D4193" w:rsidRDefault="00050323" w:rsidP="00050323">
            <w:pPr>
              <w:jc w:val="both"/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Búsqueda y contratación del proveedor del servicio de capacitación. Implementación de la Capacitación. Evaluación del aprovechamiento de la capacitación.</w:t>
            </w:r>
          </w:p>
        </w:tc>
      </w:tr>
      <w:tr w:rsidR="008D4193" w:rsidTr="00050323">
        <w:trPr>
          <w:trHeight w:val="547"/>
        </w:trPr>
        <w:tc>
          <w:tcPr>
            <w:tcW w:w="1191" w:type="pct"/>
            <w:shd w:val="clear" w:color="auto" w:fill="D9D9D9" w:themeFill="background1" w:themeFillShade="D9"/>
          </w:tcPr>
          <w:p w:rsidR="008D4193" w:rsidRDefault="008D4193" w:rsidP="008D4193">
            <w:r>
              <w:t>B) Principal producto esperado (base para el establecimiento de metas)</w:t>
            </w:r>
          </w:p>
        </w:tc>
        <w:tc>
          <w:tcPr>
            <w:tcW w:w="3809" w:type="pct"/>
            <w:gridSpan w:val="12"/>
            <w:shd w:val="clear" w:color="auto" w:fill="auto"/>
            <w:vAlign w:val="center"/>
          </w:tcPr>
          <w:p w:rsidR="008D4193" w:rsidRDefault="00050323" w:rsidP="00761DB0">
            <w:pPr>
              <w:jc w:val="both"/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Cualitativamente se trata de una mejora en los conocimientos y habilidades de quienes integran la Unidad de Transparencia. Cuantitativamente se medirá a partir del aprovechamiento de la capacitación, mediante un examen al concluir la misma.</w:t>
            </w:r>
          </w:p>
        </w:tc>
      </w:tr>
      <w:tr w:rsidR="008D4193" w:rsidTr="00761DB0">
        <w:trPr>
          <w:trHeight w:val="547"/>
        </w:trPr>
        <w:tc>
          <w:tcPr>
            <w:tcW w:w="1191" w:type="pct"/>
            <w:shd w:val="clear" w:color="auto" w:fill="D9D9D9" w:themeFill="background1" w:themeFillShade="D9"/>
          </w:tcPr>
          <w:p w:rsidR="008D4193" w:rsidRDefault="008D4193" w:rsidP="008D4193">
            <w:r>
              <w:t xml:space="preserve">Indicador de Resultados vinculado al PMD según Línea de Acción </w:t>
            </w:r>
          </w:p>
        </w:tc>
        <w:tc>
          <w:tcPr>
            <w:tcW w:w="3809" w:type="pct"/>
            <w:gridSpan w:val="1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761DB0">
        <w:trPr>
          <w:trHeight w:val="547"/>
        </w:trPr>
        <w:tc>
          <w:tcPr>
            <w:tcW w:w="1191" w:type="pct"/>
            <w:shd w:val="clear" w:color="auto" w:fill="D9D9D9" w:themeFill="background1" w:themeFillShade="D9"/>
          </w:tcPr>
          <w:p w:rsidR="008D4193" w:rsidRDefault="008D4193" w:rsidP="008D4193">
            <w:r>
              <w:t xml:space="preserve">Indicador vinculado a los Objetivos de Desarrollo Sostenible </w:t>
            </w:r>
          </w:p>
        </w:tc>
        <w:tc>
          <w:tcPr>
            <w:tcW w:w="3809" w:type="pct"/>
            <w:gridSpan w:val="1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761DB0">
        <w:tc>
          <w:tcPr>
            <w:tcW w:w="1191" w:type="pct"/>
            <w:vMerge w:val="restart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Alcance</w:t>
            </w:r>
          </w:p>
        </w:tc>
        <w:tc>
          <w:tcPr>
            <w:tcW w:w="1290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Corto Plazo</w:t>
            </w:r>
          </w:p>
        </w:tc>
        <w:tc>
          <w:tcPr>
            <w:tcW w:w="1269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Mediano Plazo</w:t>
            </w:r>
          </w:p>
        </w:tc>
        <w:tc>
          <w:tcPr>
            <w:tcW w:w="1250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Largo Plazo</w:t>
            </w:r>
          </w:p>
        </w:tc>
      </w:tr>
      <w:tr w:rsidR="008D4193" w:rsidTr="00761DB0">
        <w:tc>
          <w:tcPr>
            <w:tcW w:w="1191" w:type="pct"/>
            <w:vMerge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</w:p>
        </w:tc>
        <w:tc>
          <w:tcPr>
            <w:tcW w:w="1290" w:type="pct"/>
            <w:gridSpan w:val="4"/>
            <w:shd w:val="clear" w:color="auto" w:fill="auto"/>
          </w:tcPr>
          <w:p w:rsidR="008D4193" w:rsidRDefault="006B6C6C" w:rsidP="008D4193">
            <w:pPr>
              <w:jc w:val="center"/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100%.</w:t>
            </w:r>
          </w:p>
        </w:tc>
        <w:tc>
          <w:tcPr>
            <w:tcW w:w="1269" w:type="pct"/>
            <w:gridSpan w:val="4"/>
            <w:shd w:val="clear" w:color="auto" w:fill="auto"/>
          </w:tcPr>
          <w:p w:rsidR="008D4193" w:rsidRDefault="006B6C6C" w:rsidP="008D4193">
            <w:pPr>
              <w:jc w:val="center"/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100%.</w:t>
            </w:r>
          </w:p>
        </w:tc>
        <w:tc>
          <w:tcPr>
            <w:tcW w:w="1250" w:type="pct"/>
            <w:gridSpan w:val="4"/>
            <w:shd w:val="clear" w:color="auto" w:fill="auto"/>
          </w:tcPr>
          <w:p w:rsidR="008D4193" w:rsidRDefault="006B6C6C" w:rsidP="008D4193">
            <w:pPr>
              <w:jc w:val="center"/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100%.</w:t>
            </w:r>
          </w:p>
        </w:tc>
      </w:tr>
      <w:tr w:rsidR="008D4193" w:rsidTr="00761DB0">
        <w:tc>
          <w:tcPr>
            <w:tcW w:w="1191" w:type="pct"/>
            <w:shd w:val="clear" w:color="auto" w:fill="D9D9D9" w:themeFill="background1" w:themeFillShade="D9"/>
          </w:tcPr>
          <w:p w:rsidR="008D4193" w:rsidRDefault="008D4193" w:rsidP="008D4193">
            <w:r>
              <w:t>C) Valor Inicial de la Meta</w:t>
            </w:r>
          </w:p>
        </w:tc>
        <w:tc>
          <w:tcPr>
            <w:tcW w:w="1290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Valor final de la Meta</w:t>
            </w:r>
          </w:p>
        </w:tc>
        <w:tc>
          <w:tcPr>
            <w:tcW w:w="1269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Nombre del indicador</w:t>
            </w:r>
          </w:p>
        </w:tc>
        <w:tc>
          <w:tcPr>
            <w:tcW w:w="1250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Formula del indicador</w:t>
            </w:r>
          </w:p>
        </w:tc>
      </w:tr>
      <w:tr w:rsidR="008D4193" w:rsidTr="00761DB0">
        <w:tc>
          <w:tcPr>
            <w:tcW w:w="1191" w:type="pct"/>
            <w:shd w:val="clear" w:color="auto" w:fill="auto"/>
            <w:vAlign w:val="center"/>
          </w:tcPr>
          <w:p w:rsidR="008D4193" w:rsidRDefault="006B6C6C" w:rsidP="006B6C6C">
            <w:pPr>
              <w:jc w:val="center"/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90" w:type="pct"/>
            <w:gridSpan w:val="4"/>
            <w:shd w:val="clear" w:color="auto" w:fill="auto"/>
            <w:vAlign w:val="center"/>
          </w:tcPr>
          <w:p w:rsidR="008D4193" w:rsidRPr="006B6C6C" w:rsidRDefault="006B6C6C" w:rsidP="006B6C6C">
            <w:pPr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69" w:type="pct"/>
            <w:gridSpan w:val="4"/>
            <w:shd w:val="clear" w:color="auto" w:fill="auto"/>
            <w:vAlign w:val="center"/>
          </w:tcPr>
          <w:p w:rsidR="008D4193" w:rsidRPr="006B6C6C" w:rsidRDefault="00050323" w:rsidP="00B329A1">
            <w:pPr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Aprovechamiento de los elementos de la capacitación.</w:t>
            </w:r>
            <w:r w:rsidR="006B6C6C" w:rsidRPr="006B6C6C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gridSpan w:val="4"/>
            <w:shd w:val="clear" w:color="auto" w:fill="auto"/>
            <w:vAlign w:val="center"/>
          </w:tcPr>
          <w:p w:rsidR="008D4193" w:rsidRDefault="00050323" w:rsidP="00050323">
            <w:pPr>
              <w:jc w:val="both"/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promedio= (</w:t>
            </w:r>
            <w:r w:rsidR="00761DB0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total de 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calificaciones de los </w:t>
            </w:r>
            <w:r w:rsidR="00761DB0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funcionarios capacitados</w:t>
            </w:r>
            <w:r w:rsidR="004C7A02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D4193" w:rsidTr="00D9176D">
        <w:tc>
          <w:tcPr>
            <w:tcW w:w="2481" w:type="pct"/>
            <w:gridSpan w:val="5"/>
            <w:shd w:val="clear" w:color="auto" w:fill="D9D9D9" w:themeFill="background1" w:themeFillShade="D9"/>
          </w:tcPr>
          <w:p w:rsidR="008D4193" w:rsidRDefault="008D4193" w:rsidP="008D4193">
            <w:r>
              <w:t>Clave de presupuesto determinada en Finanzas para la etiquetación de recursos</w:t>
            </w:r>
          </w:p>
        </w:tc>
        <w:tc>
          <w:tcPr>
            <w:tcW w:w="2519" w:type="pct"/>
            <w:gridSpan w:val="8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762157">
        <w:trPr>
          <w:trHeight w:val="547"/>
        </w:trPr>
        <w:tc>
          <w:tcPr>
            <w:tcW w:w="0" w:type="auto"/>
            <w:gridSpan w:val="13"/>
            <w:shd w:val="clear" w:color="auto" w:fill="D9D9D9" w:themeFill="background1" w:themeFillShade="D9"/>
            <w:vAlign w:val="center"/>
          </w:tcPr>
          <w:p w:rsidR="00BF1526" w:rsidRDefault="00BF1526" w:rsidP="008D4193">
            <w:pPr>
              <w:jc w:val="center"/>
            </w:pPr>
          </w:p>
          <w:p w:rsidR="00BF1526" w:rsidRDefault="00BF1526" w:rsidP="008D4193">
            <w:pPr>
              <w:jc w:val="center"/>
            </w:pPr>
          </w:p>
          <w:p w:rsidR="00BF1526" w:rsidRDefault="00BF1526" w:rsidP="008D4193">
            <w:pPr>
              <w:jc w:val="center"/>
            </w:pPr>
          </w:p>
          <w:p w:rsidR="008D4193" w:rsidRDefault="008D4193" w:rsidP="008D4193">
            <w:pPr>
              <w:jc w:val="center"/>
            </w:pPr>
            <w:r>
              <w:t>Cronograma Anual  de Actividades</w:t>
            </w:r>
          </w:p>
          <w:p w:rsidR="00BF1526" w:rsidRDefault="00BF1526" w:rsidP="008D4193">
            <w:pPr>
              <w:jc w:val="center"/>
            </w:pPr>
          </w:p>
          <w:p w:rsidR="00BF1526" w:rsidRDefault="00BF1526" w:rsidP="008D4193">
            <w:pPr>
              <w:jc w:val="center"/>
            </w:pPr>
          </w:p>
          <w:p w:rsidR="00BF1526" w:rsidRDefault="00BF1526" w:rsidP="008D4193">
            <w:pPr>
              <w:jc w:val="center"/>
            </w:pPr>
          </w:p>
        </w:tc>
      </w:tr>
      <w:tr w:rsidR="00761DB0" w:rsidTr="00BF1526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8D4193" w:rsidRDefault="008D4193" w:rsidP="008D4193"/>
          <w:p w:rsidR="008D4193" w:rsidRDefault="008D4193" w:rsidP="008D4193">
            <w:r>
              <w:lastRenderedPageBreak/>
              <w:t xml:space="preserve">D) 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D4193" w:rsidRDefault="008D4193" w:rsidP="008D4193">
            <w:pPr>
              <w:jc w:val="center"/>
            </w:pPr>
            <w:r>
              <w:lastRenderedPageBreak/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D4193" w:rsidRDefault="008D4193" w:rsidP="008D4193">
            <w:pPr>
              <w:jc w:val="center"/>
            </w:pPr>
            <w:r>
              <w:t>FEB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D4193" w:rsidRDefault="008D4193" w:rsidP="008D4193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D4193" w:rsidRDefault="008D4193" w:rsidP="008D4193">
            <w:pPr>
              <w:jc w:val="center"/>
            </w:pPr>
            <w:r>
              <w:t>ABR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D4193" w:rsidRDefault="008D4193" w:rsidP="008D4193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D4193" w:rsidRDefault="008D4193" w:rsidP="008D4193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D4193" w:rsidRDefault="008D4193" w:rsidP="008D4193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D4193" w:rsidRDefault="008D4193" w:rsidP="008D4193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D4193" w:rsidRDefault="008D4193" w:rsidP="008D4193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D4193" w:rsidRDefault="008D4193" w:rsidP="008D4193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D4193" w:rsidRDefault="008D4193" w:rsidP="008D4193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D4193" w:rsidRDefault="008D4193" w:rsidP="008D4193">
            <w:pPr>
              <w:jc w:val="center"/>
            </w:pPr>
            <w:r>
              <w:t>DIC</w:t>
            </w:r>
          </w:p>
        </w:tc>
      </w:tr>
      <w:tr w:rsidR="00761DB0" w:rsidTr="008413B1">
        <w:trPr>
          <w:trHeight w:val="312"/>
        </w:trPr>
        <w:tc>
          <w:tcPr>
            <w:tcW w:w="0" w:type="auto"/>
            <w:shd w:val="clear" w:color="auto" w:fill="auto"/>
          </w:tcPr>
          <w:p w:rsidR="00D9176D" w:rsidRPr="00145F76" w:rsidRDefault="00050323" w:rsidP="00050323">
            <w:pPr>
              <w:jc w:val="both"/>
              <w:rPr>
                <w:sz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Búsqueda del proveedor del servicio de capacitación.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176D" w:rsidRPr="008413B1" w:rsidRDefault="00D9176D" w:rsidP="00D9176D">
            <w:pPr>
              <w:jc w:val="center"/>
              <w:rPr>
                <w:rFonts w:ascii="Garamond" w:hAnsi="Garamond"/>
                <w:sz w:val="24"/>
              </w:rPr>
            </w:pPr>
            <w:r w:rsidRPr="008413B1">
              <w:rPr>
                <w:rFonts w:ascii="Garamond" w:hAnsi="Garamond"/>
                <w:sz w:val="24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176D" w:rsidRPr="008413B1" w:rsidRDefault="00D9176D" w:rsidP="00D9176D">
            <w:pPr>
              <w:jc w:val="center"/>
              <w:rPr>
                <w:rFonts w:ascii="Garamond" w:hAnsi="Garamond"/>
                <w:sz w:val="24"/>
              </w:rPr>
            </w:pPr>
            <w:r w:rsidRPr="008413B1">
              <w:rPr>
                <w:rFonts w:ascii="Garamond" w:hAnsi="Garamond"/>
                <w:sz w:val="24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176D" w:rsidRPr="008413B1" w:rsidRDefault="00D9176D" w:rsidP="00D9176D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9176D" w:rsidRPr="008413B1" w:rsidRDefault="00D9176D" w:rsidP="00D9176D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9176D" w:rsidRPr="008413B1" w:rsidRDefault="00D9176D" w:rsidP="00D9176D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9176D" w:rsidRPr="008413B1" w:rsidRDefault="00D9176D" w:rsidP="00D9176D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9176D" w:rsidRPr="008413B1" w:rsidRDefault="00D9176D" w:rsidP="00D9176D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9176D" w:rsidRPr="008413B1" w:rsidRDefault="00D9176D" w:rsidP="00D9176D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9176D" w:rsidRPr="008413B1" w:rsidRDefault="00D9176D" w:rsidP="00D9176D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9176D" w:rsidRPr="008413B1" w:rsidRDefault="00D9176D" w:rsidP="00D9176D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9176D" w:rsidRPr="008413B1" w:rsidRDefault="00D9176D" w:rsidP="00D9176D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9176D" w:rsidRPr="008413B1" w:rsidRDefault="00D9176D" w:rsidP="00D9176D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761DB0" w:rsidTr="00550194">
        <w:trPr>
          <w:trHeight w:val="288"/>
        </w:trPr>
        <w:tc>
          <w:tcPr>
            <w:tcW w:w="0" w:type="auto"/>
            <w:shd w:val="clear" w:color="auto" w:fill="auto"/>
          </w:tcPr>
          <w:p w:rsidR="00D9176D" w:rsidRPr="00145F76" w:rsidRDefault="00050323" w:rsidP="00A42810">
            <w:pPr>
              <w:jc w:val="both"/>
              <w:rPr>
                <w:sz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Discusión respecto de las necesidades de capacitación y el producto a ofrecer por el proveedor. Contratación del proveedor.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176D" w:rsidRPr="008413B1" w:rsidRDefault="00D9176D" w:rsidP="00D9176D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9176D" w:rsidRPr="008413B1" w:rsidRDefault="00D9176D" w:rsidP="00D9176D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9176D" w:rsidRPr="008413B1" w:rsidRDefault="00D9176D" w:rsidP="00D9176D">
            <w:pPr>
              <w:jc w:val="center"/>
              <w:rPr>
                <w:rFonts w:ascii="Garamond" w:hAnsi="Garamond"/>
                <w:sz w:val="24"/>
              </w:rPr>
            </w:pPr>
            <w:r w:rsidRPr="008413B1">
              <w:rPr>
                <w:rFonts w:ascii="Garamond" w:hAnsi="Garamond"/>
                <w:sz w:val="24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176D" w:rsidRPr="008413B1" w:rsidRDefault="00D9176D" w:rsidP="00D9176D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9176D" w:rsidRPr="008413B1" w:rsidRDefault="00D9176D" w:rsidP="00D9176D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9176D" w:rsidRPr="008413B1" w:rsidRDefault="00D9176D" w:rsidP="00D9176D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9176D" w:rsidRPr="008413B1" w:rsidRDefault="00D9176D" w:rsidP="00D9176D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9176D" w:rsidRPr="008413B1" w:rsidRDefault="00D9176D" w:rsidP="00D9176D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9176D" w:rsidRPr="008413B1" w:rsidRDefault="00D9176D" w:rsidP="00D9176D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9176D" w:rsidRPr="008413B1" w:rsidRDefault="00D9176D" w:rsidP="00D9176D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9176D" w:rsidRPr="008413B1" w:rsidRDefault="00D9176D" w:rsidP="00D9176D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9176D" w:rsidRPr="008413B1" w:rsidRDefault="00D9176D" w:rsidP="00D9176D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761DB0" w:rsidTr="00D8689D">
        <w:trPr>
          <w:trHeight w:val="263"/>
        </w:trPr>
        <w:tc>
          <w:tcPr>
            <w:tcW w:w="0" w:type="auto"/>
            <w:shd w:val="clear" w:color="auto" w:fill="auto"/>
          </w:tcPr>
          <w:p w:rsidR="00D9176D" w:rsidRPr="00145F76" w:rsidRDefault="00761DB0" w:rsidP="007D4C83">
            <w:pPr>
              <w:jc w:val="both"/>
              <w:rPr>
                <w:sz w:val="20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Desarrollo de las capacitaciones.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176D" w:rsidRPr="008413B1" w:rsidRDefault="00D9176D" w:rsidP="00D9176D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9176D" w:rsidRPr="008413B1" w:rsidRDefault="00D9176D" w:rsidP="00D9176D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9176D" w:rsidRPr="008413B1" w:rsidRDefault="00D9176D" w:rsidP="00D9176D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9176D" w:rsidRPr="008413B1" w:rsidRDefault="00D9176D" w:rsidP="00D9176D">
            <w:pPr>
              <w:jc w:val="center"/>
              <w:rPr>
                <w:rFonts w:ascii="Garamond" w:hAnsi="Garamond"/>
                <w:sz w:val="24"/>
              </w:rPr>
            </w:pPr>
            <w:r w:rsidRPr="008413B1">
              <w:rPr>
                <w:rFonts w:ascii="Garamond" w:hAnsi="Garamond"/>
                <w:sz w:val="24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176D" w:rsidRPr="008413B1" w:rsidRDefault="00D9176D" w:rsidP="00D9176D">
            <w:pPr>
              <w:jc w:val="center"/>
              <w:rPr>
                <w:rFonts w:ascii="Garamond" w:hAnsi="Garamond"/>
                <w:sz w:val="24"/>
              </w:rPr>
            </w:pPr>
            <w:r w:rsidRPr="008413B1">
              <w:rPr>
                <w:rFonts w:ascii="Garamond" w:hAnsi="Garamond"/>
                <w:sz w:val="24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176D" w:rsidRPr="008413B1" w:rsidRDefault="00D9176D" w:rsidP="00D9176D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9176D" w:rsidRPr="008413B1" w:rsidRDefault="00D9176D" w:rsidP="00D9176D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9176D" w:rsidRPr="008413B1" w:rsidRDefault="00D9176D" w:rsidP="00D9176D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9176D" w:rsidRPr="008413B1" w:rsidRDefault="00D9176D" w:rsidP="00D9176D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9176D" w:rsidRPr="008413B1" w:rsidRDefault="00D9176D" w:rsidP="00D9176D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9176D" w:rsidRPr="008413B1" w:rsidRDefault="00D9176D" w:rsidP="00D9176D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9176D" w:rsidRPr="008413B1" w:rsidRDefault="00D9176D" w:rsidP="00D9176D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050323" w:rsidTr="00D8689D">
        <w:trPr>
          <w:trHeight w:val="263"/>
        </w:trPr>
        <w:tc>
          <w:tcPr>
            <w:tcW w:w="0" w:type="auto"/>
            <w:shd w:val="clear" w:color="auto" w:fill="auto"/>
          </w:tcPr>
          <w:p w:rsidR="00050323" w:rsidRDefault="00050323" w:rsidP="007D4C83">
            <w:pPr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>Evaluación.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323" w:rsidRPr="008413B1" w:rsidRDefault="00050323" w:rsidP="00D9176D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50323" w:rsidRPr="008413B1" w:rsidRDefault="00050323" w:rsidP="00D9176D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50323" w:rsidRPr="008413B1" w:rsidRDefault="00050323" w:rsidP="00D9176D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50323" w:rsidRPr="008413B1" w:rsidRDefault="00050323" w:rsidP="00D9176D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50323" w:rsidRPr="008413B1" w:rsidRDefault="00050323" w:rsidP="00D9176D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50323" w:rsidRPr="008413B1" w:rsidRDefault="00050323" w:rsidP="00D9176D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0323" w:rsidRPr="008413B1" w:rsidRDefault="00050323" w:rsidP="00D9176D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50323" w:rsidRPr="008413B1" w:rsidRDefault="00050323" w:rsidP="00D9176D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50323" w:rsidRPr="008413B1" w:rsidRDefault="00050323" w:rsidP="00D9176D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50323" w:rsidRPr="008413B1" w:rsidRDefault="00050323" w:rsidP="00D9176D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50323" w:rsidRPr="008413B1" w:rsidRDefault="00050323" w:rsidP="00D9176D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50323" w:rsidRPr="008413B1" w:rsidRDefault="00050323" w:rsidP="00D9176D">
            <w:pPr>
              <w:jc w:val="center"/>
              <w:rPr>
                <w:rFonts w:ascii="Garamond" w:hAnsi="Garamond"/>
                <w:sz w:val="24"/>
              </w:rPr>
            </w:pPr>
          </w:p>
        </w:tc>
      </w:tr>
    </w:tbl>
    <w:p w:rsidR="007031DE" w:rsidRPr="007031DE" w:rsidRDefault="007031DE" w:rsidP="00212E94">
      <w:pPr>
        <w:rPr>
          <w:i/>
          <w:sz w:val="16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sectPr w:rsidR="007031DE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797" w:rsidRDefault="008A5797" w:rsidP="00831F7E">
      <w:pPr>
        <w:spacing w:after="0" w:line="240" w:lineRule="auto"/>
      </w:pPr>
      <w:r>
        <w:separator/>
      </w:r>
    </w:p>
  </w:endnote>
  <w:endnote w:type="continuationSeparator" w:id="0">
    <w:p w:rsidR="008A5797" w:rsidRDefault="008A5797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797" w:rsidRDefault="008A5797" w:rsidP="00831F7E">
      <w:pPr>
        <w:spacing w:after="0" w:line="240" w:lineRule="auto"/>
      </w:pPr>
      <w:r>
        <w:separator/>
      </w:r>
    </w:p>
  </w:footnote>
  <w:footnote w:type="continuationSeparator" w:id="0">
    <w:p w:rsidR="008A5797" w:rsidRDefault="008A5797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109F6"/>
    <w:rsid w:val="00017BB7"/>
    <w:rsid w:val="0003322C"/>
    <w:rsid w:val="000473B9"/>
    <w:rsid w:val="00050323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4D60"/>
    <w:rsid w:val="00145F76"/>
    <w:rsid w:val="0015123E"/>
    <w:rsid w:val="00153BBB"/>
    <w:rsid w:val="00191343"/>
    <w:rsid w:val="00195B59"/>
    <w:rsid w:val="001A5139"/>
    <w:rsid w:val="001F5482"/>
    <w:rsid w:val="001F5B4A"/>
    <w:rsid w:val="00212E94"/>
    <w:rsid w:val="0021498C"/>
    <w:rsid w:val="002315CE"/>
    <w:rsid w:val="00244BBA"/>
    <w:rsid w:val="00283259"/>
    <w:rsid w:val="00296300"/>
    <w:rsid w:val="002E08B6"/>
    <w:rsid w:val="0031350C"/>
    <w:rsid w:val="00354265"/>
    <w:rsid w:val="0035529E"/>
    <w:rsid w:val="0038034B"/>
    <w:rsid w:val="00393FB9"/>
    <w:rsid w:val="003968A1"/>
    <w:rsid w:val="003978F6"/>
    <w:rsid w:val="003C3FD5"/>
    <w:rsid w:val="003F1857"/>
    <w:rsid w:val="00415510"/>
    <w:rsid w:val="004840BF"/>
    <w:rsid w:val="00485EB9"/>
    <w:rsid w:val="00490296"/>
    <w:rsid w:val="004B17E0"/>
    <w:rsid w:val="004C7A02"/>
    <w:rsid w:val="004D73DA"/>
    <w:rsid w:val="004E1777"/>
    <w:rsid w:val="004E47FD"/>
    <w:rsid w:val="00507023"/>
    <w:rsid w:val="005132E8"/>
    <w:rsid w:val="00541F08"/>
    <w:rsid w:val="00542487"/>
    <w:rsid w:val="005461F3"/>
    <w:rsid w:val="005478E1"/>
    <w:rsid w:val="00556712"/>
    <w:rsid w:val="00571D3D"/>
    <w:rsid w:val="005732E8"/>
    <w:rsid w:val="005739F5"/>
    <w:rsid w:val="005A4501"/>
    <w:rsid w:val="005C6958"/>
    <w:rsid w:val="005D6B0E"/>
    <w:rsid w:val="005E58EB"/>
    <w:rsid w:val="006235EC"/>
    <w:rsid w:val="00635A47"/>
    <w:rsid w:val="00640878"/>
    <w:rsid w:val="00650F82"/>
    <w:rsid w:val="00663511"/>
    <w:rsid w:val="00663E7F"/>
    <w:rsid w:val="0068296C"/>
    <w:rsid w:val="0068316A"/>
    <w:rsid w:val="00687B8E"/>
    <w:rsid w:val="00697266"/>
    <w:rsid w:val="006B6C6C"/>
    <w:rsid w:val="006C4E80"/>
    <w:rsid w:val="006E48D8"/>
    <w:rsid w:val="006F0539"/>
    <w:rsid w:val="00700C4B"/>
    <w:rsid w:val="007031DE"/>
    <w:rsid w:val="00741539"/>
    <w:rsid w:val="00761DB0"/>
    <w:rsid w:val="00762157"/>
    <w:rsid w:val="00775E30"/>
    <w:rsid w:val="00794ACD"/>
    <w:rsid w:val="007A1B79"/>
    <w:rsid w:val="007D4C83"/>
    <w:rsid w:val="007D6BE6"/>
    <w:rsid w:val="007E1B4E"/>
    <w:rsid w:val="00803C8A"/>
    <w:rsid w:val="00831976"/>
    <w:rsid w:val="00831F7E"/>
    <w:rsid w:val="008413B1"/>
    <w:rsid w:val="00865183"/>
    <w:rsid w:val="008823BE"/>
    <w:rsid w:val="008A0B71"/>
    <w:rsid w:val="008A5797"/>
    <w:rsid w:val="008B03B5"/>
    <w:rsid w:val="008C7542"/>
    <w:rsid w:val="008D1CEE"/>
    <w:rsid w:val="008D3779"/>
    <w:rsid w:val="008D4193"/>
    <w:rsid w:val="009109C2"/>
    <w:rsid w:val="0095054C"/>
    <w:rsid w:val="00964682"/>
    <w:rsid w:val="009B06DF"/>
    <w:rsid w:val="009B17BA"/>
    <w:rsid w:val="009C363D"/>
    <w:rsid w:val="009E163A"/>
    <w:rsid w:val="009F50FA"/>
    <w:rsid w:val="00A00F82"/>
    <w:rsid w:val="00A165E8"/>
    <w:rsid w:val="00A42810"/>
    <w:rsid w:val="00A465A0"/>
    <w:rsid w:val="00A53855"/>
    <w:rsid w:val="00A54029"/>
    <w:rsid w:val="00A57343"/>
    <w:rsid w:val="00A65F50"/>
    <w:rsid w:val="00A911BF"/>
    <w:rsid w:val="00AA4922"/>
    <w:rsid w:val="00AB52C1"/>
    <w:rsid w:val="00AD0FB7"/>
    <w:rsid w:val="00AD4ED4"/>
    <w:rsid w:val="00AD667C"/>
    <w:rsid w:val="00AE576A"/>
    <w:rsid w:val="00AF435D"/>
    <w:rsid w:val="00AF641E"/>
    <w:rsid w:val="00AF730C"/>
    <w:rsid w:val="00B020E3"/>
    <w:rsid w:val="00B06AF7"/>
    <w:rsid w:val="00B1501F"/>
    <w:rsid w:val="00B329A1"/>
    <w:rsid w:val="00B44A80"/>
    <w:rsid w:val="00B71F35"/>
    <w:rsid w:val="00B82F9A"/>
    <w:rsid w:val="00BE28A4"/>
    <w:rsid w:val="00BF1526"/>
    <w:rsid w:val="00BF4795"/>
    <w:rsid w:val="00C112D4"/>
    <w:rsid w:val="00C12013"/>
    <w:rsid w:val="00C3208D"/>
    <w:rsid w:val="00D22792"/>
    <w:rsid w:val="00D341E0"/>
    <w:rsid w:val="00D36B11"/>
    <w:rsid w:val="00D50738"/>
    <w:rsid w:val="00D7749B"/>
    <w:rsid w:val="00D9176D"/>
    <w:rsid w:val="00DA1F68"/>
    <w:rsid w:val="00DB0FA4"/>
    <w:rsid w:val="00DC13B1"/>
    <w:rsid w:val="00DF3242"/>
    <w:rsid w:val="00E30C7A"/>
    <w:rsid w:val="00E57798"/>
    <w:rsid w:val="00E6571B"/>
    <w:rsid w:val="00E77553"/>
    <w:rsid w:val="00E81D19"/>
    <w:rsid w:val="00EA486F"/>
    <w:rsid w:val="00EB3B96"/>
    <w:rsid w:val="00ED521E"/>
    <w:rsid w:val="00EF78FF"/>
    <w:rsid w:val="00F1128B"/>
    <w:rsid w:val="00F13C60"/>
    <w:rsid w:val="00F150E9"/>
    <w:rsid w:val="00F227A3"/>
    <w:rsid w:val="00F24302"/>
    <w:rsid w:val="00F44230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B560D8-D4F5-47B0-B830-32983B0F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8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Irma Martinez Mellado</cp:lastModifiedBy>
  <cp:revision>2</cp:revision>
  <cp:lastPrinted>2016-06-21T16:36:00Z</cp:lastPrinted>
  <dcterms:created xsi:type="dcterms:W3CDTF">2017-11-21T15:28:00Z</dcterms:created>
  <dcterms:modified xsi:type="dcterms:W3CDTF">2017-11-21T15:28:00Z</dcterms:modified>
</cp:coreProperties>
</file>