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D14D0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14D02" w:rsidRDefault="00D14D02" w:rsidP="00D14D02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14D02" w:rsidRPr="00A316F5" w:rsidRDefault="00D14D02" w:rsidP="00D14D02">
            <w:r>
              <w:rPr>
                <w:rFonts w:ascii="Arial" w:eastAsia="Calibri" w:hAnsi="Arial" w:cs="Arial"/>
                <w:sz w:val="18"/>
                <w:szCs w:val="18"/>
              </w:rPr>
              <w:t>Programa de Coordinación Interinstitucional (2)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14D02" w:rsidRDefault="00D14D02" w:rsidP="00D14D0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14D02" w:rsidRDefault="00D14D02" w:rsidP="00D14D02">
            <w:pPr>
              <w:jc w:val="both"/>
            </w:pPr>
          </w:p>
        </w:tc>
      </w:tr>
      <w:tr w:rsidR="00D14D0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14D02" w:rsidRDefault="00D14D02" w:rsidP="00D14D02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14D02" w:rsidRDefault="00D14D02" w:rsidP="00D14D02">
            <w:pPr>
              <w:jc w:val="both"/>
            </w:pPr>
            <w:r>
              <w:t>DIRECCION DE PADRON Y LICENCIAS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14D02" w:rsidRDefault="00D14D02" w:rsidP="00D14D0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14D02" w:rsidRDefault="00D14D02" w:rsidP="00D14D02">
            <w:pPr>
              <w:jc w:val="both"/>
            </w:pPr>
          </w:p>
        </w:tc>
      </w:tr>
      <w:tr w:rsidR="00D14D02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14D02" w:rsidRDefault="00D14D02" w:rsidP="00D14D02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14D02" w:rsidRDefault="00D14D02" w:rsidP="00D14D02">
            <w:pPr>
              <w:jc w:val="both"/>
            </w:pPr>
            <w:r>
              <w:t>Mantener una coordinación estrecha  y eficiente con las diferentes áreas relacionadas con padrón y licencias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14D02" w:rsidRDefault="00D14D02" w:rsidP="00D14D02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14D02" w:rsidRDefault="00D14D02" w:rsidP="00D14D02">
            <w:pPr>
              <w:jc w:val="both"/>
            </w:pPr>
          </w:p>
        </w:tc>
      </w:tr>
      <w:tr w:rsidR="00D14D02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14D02" w:rsidRDefault="00D14D02" w:rsidP="00D14D02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D14D02" w:rsidRDefault="00D14D02" w:rsidP="00D14D02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14D02" w:rsidRDefault="00D14D02" w:rsidP="00D14D02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14D02" w:rsidRDefault="00D14D02" w:rsidP="00D14D02">
            <w:pPr>
              <w:jc w:val="both"/>
            </w:pPr>
          </w:p>
        </w:tc>
      </w:tr>
      <w:tr w:rsidR="00D14D02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14D02" w:rsidRDefault="00D14D02" w:rsidP="00D14D02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14D02" w:rsidRDefault="00D14D02" w:rsidP="00D14D02">
            <w:pPr>
              <w:jc w:val="both"/>
            </w:pPr>
            <w:r>
              <w:t>NIÑOS HEROES 360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14D02" w:rsidRDefault="00D14D02" w:rsidP="00D14D0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14D02" w:rsidRDefault="00D14D02" w:rsidP="00D14D02">
            <w:pPr>
              <w:jc w:val="both"/>
            </w:pPr>
          </w:p>
        </w:tc>
      </w:tr>
      <w:tr w:rsidR="00D14D0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14D02" w:rsidRDefault="00D14D02" w:rsidP="00D14D02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14D02" w:rsidRDefault="00D14D02" w:rsidP="00D14D02">
            <w:pPr>
              <w:jc w:val="both"/>
            </w:pPr>
            <w:r>
              <w:t xml:space="preserve">HUGO FDO. RODRIGUEZ MARTINEZ Y </w:t>
            </w:r>
            <w:r>
              <w:rPr>
                <w:bCs/>
              </w:rPr>
              <w:t>LIC. AURELIA YOLANDA BARBA ROJAS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14D02" w:rsidRDefault="00D14D02" w:rsidP="00D14D0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14D02" w:rsidRDefault="00D14D02" w:rsidP="00D14D02">
            <w:pPr>
              <w:jc w:val="both"/>
            </w:pPr>
          </w:p>
        </w:tc>
      </w:tr>
      <w:tr w:rsidR="00D14D02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14D02" w:rsidRDefault="00D14D02" w:rsidP="00D14D02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14D02" w:rsidRDefault="00D14D02" w:rsidP="00D14D02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Procesos de regularización dentro del marco legal, actualización y depuración del padrón de contribuyentes y un catálogo de giros actualizado y acorde a las necesidades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14D02" w:rsidRDefault="00D14D02" w:rsidP="00D14D0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14D02" w:rsidRDefault="00D14D02" w:rsidP="00D14D02">
            <w:pPr>
              <w:jc w:val="both"/>
            </w:pPr>
          </w:p>
        </w:tc>
      </w:tr>
      <w:tr w:rsidR="00D14D0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14D02" w:rsidRDefault="00D14D02" w:rsidP="00D14D02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14D02" w:rsidRDefault="00D14D02" w:rsidP="00D14D02">
            <w:pPr>
              <w:jc w:val="both"/>
            </w:pPr>
          </w:p>
        </w:tc>
      </w:tr>
      <w:tr w:rsidR="00D14D0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Fecha de Cierre</w:t>
            </w:r>
          </w:p>
        </w:tc>
      </w:tr>
      <w:tr w:rsidR="00D14D02" w:rsidTr="00121462">
        <w:tc>
          <w:tcPr>
            <w:tcW w:w="1092" w:type="dxa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14D02" w:rsidRDefault="00D14D02" w:rsidP="00D14D02"/>
        </w:tc>
        <w:tc>
          <w:tcPr>
            <w:tcW w:w="2694" w:type="dxa"/>
            <w:gridSpan w:val="4"/>
            <w:shd w:val="clear" w:color="auto" w:fill="auto"/>
          </w:tcPr>
          <w:p w:rsidR="00D14D02" w:rsidRDefault="00D14D02" w:rsidP="00D14D02"/>
        </w:tc>
      </w:tr>
      <w:tr w:rsidR="00D14D02" w:rsidTr="00121462">
        <w:tc>
          <w:tcPr>
            <w:tcW w:w="1092" w:type="dxa"/>
          </w:tcPr>
          <w:p w:rsidR="00D14D02" w:rsidRDefault="00D14D02" w:rsidP="00D14D02">
            <w:pPr>
              <w:jc w:val="center"/>
            </w:pPr>
          </w:p>
        </w:tc>
        <w:tc>
          <w:tcPr>
            <w:tcW w:w="1060" w:type="dxa"/>
          </w:tcPr>
          <w:p w:rsidR="00D14D02" w:rsidRDefault="00D14D02" w:rsidP="00D14D02">
            <w:pPr>
              <w:jc w:val="center"/>
            </w:pPr>
          </w:p>
        </w:tc>
        <w:tc>
          <w:tcPr>
            <w:tcW w:w="915" w:type="dxa"/>
          </w:tcPr>
          <w:p w:rsidR="00D14D02" w:rsidRDefault="00D14D02" w:rsidP="00D14D02">
            <w:pPr>
              <w:jc w:val="center"/>
            </w:pPr>
          </w:p>
        </w:tc>
        <w:tc>
          <w:tcPr>
            <w:tcW w:w="1532" w:type="dxa"/>
            <w:gridSpan w:val="2"/>
          </w:tcPr>
          <w:p w:rsidR="00D14D02" w:rsidRDefault="00D14D02" w:rsidP="00D14D02">
            <w:pPr>
              <w:jc w:val="center"/>
            </w:pPr>
          </w:p>
        </w:tc>
        <w:tc>
          <w:tcPr>
            <w:tcW w:w="1678" w:type="dxa"/>
          </w:tcPr>
          <w:p w:rsidR="00D14D02" w:rsidRDefault="00D14D02" w:rsidP="00D14D02">
            <w:pPr>
              <w:jc w:val="center"/>
            </w:pPr>
          </w:p>
        </w:tc>
        <w:tc>
          <w:tcPr>
            <w:tcW w:w="1417" w:type="dxa"/>
          </w:tcPr>
          <w:p w:rsidR="00D14D02" w:rsidRDefault="00D14D02" w:rsidP="00D14D02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x</w:t>
            </w:r>
          </w:p>
        </w:tc>
      </w:tr>
      <w:tr w:rsidR="00D14D0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D14D02" w:rsidRDefault="00D14D02" w:rsidP="00D14D02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14D02" w:rsidRDefault="00D14D02" w:rsidP="00D14D02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14D02" w:rsidRDefault="00D14D02" w:rsidP="00D14D02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14D02" w:rsidRDefault="00D14D02" w:rsidP="00D14D02"/>
        </w:tc>
        <w:tc>
          <w:tcPr>
            <w:tcW w:w="898" w:type="dxa"/>
            <w:shd w:val="clear" w:color="auto" w:fill="FABF8F" w:themeFill="accent6" w:themeFillTint="99"/>
          </w:tcPr>
          <w:p w:rsidR="00D14D02" w:rsidRDefault="00D14D02" w:rsidP="00D14D02"/>
        </w:tc>
        <w:tc>
          <w:tcPr>
            <w:tcW w:w="825" w:type="dxa"/>
            <w:shd w:val="clear" w:color="auto" w:fill="FABF8F" w:themeFill="accent6" w:themeFillTint="99"/>
          </w:tcPr>
          <w:p w:rsidR="00D14D02" w:rsidRDefault="00D14D02" w:rsidP="00D14D02"/>
        </w:tc>
        <w:tc>
          <w:tcPr>
            <w:tcW w:w="946" w:type="dxa"/>
            <w:shd w:val="clear" w:color="auto" w:fill="FABF8F" w:themeFill="accent6" w:themeFillTint="99"/>
          </w:tcPr>
          <w:p w:rsidR="00D14D02" w:rsidRDefault="00D14D02" w:rsidP="00D14D02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14D02" w:rsidRDefault="00D14D02" w:rsidP="00D14D02"/>
        </w:tc>
        <w:tc>
          <w:tcPr>
            <w:tcW w:w="874" w:type="dxa"/>
            <w:shd w:val="clear" w:color="auto" w:fill="FABF8F" w:themeFill="accent6" w:themeFillTint="99"/>
          </w:tcPr>
          <w:p w:rsidR="00D14D02" w:rsidRDefault="00D14D02" w:rsidP="00D14D02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D14D02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14D02" w:rsidRDefault="00D14D02" w:rsidP="00D14D02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14D02" w:rsidRDefault="00D14D02" w:rsidP="00D14D02">
            <w:r>
              <w:t>Un padrón de contribuyentes y giros eficiente y actualizado</w:t>
            </w:r>
          </w:p>
        </w:tc>
      </w:tr>
      <w:tr w:rsidR="00D14D02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14D02" w:rsidRDefault="00D14D02" w:rsidP="00D14D02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14D02" w:rsidRDefault="00D14D02" w:rsidP="00D14D02">
            <w:r>
              <w:t xml:space="preserve"> Actualización y Análisis </w:t>
            </w:r>
            <w:r w:rsidR="00DC65E8">
              <w:t>de los marcos legales</w:t>
            </w:r>
            <w:r>
              <w:t xml:space="preserve"> (leyes y reglamentos) y la propuesta de actualización </w:t>
            </w:r>
            <w:r w:rsidR="003D3EA8">
              <w:t>del catálogo</w:t>
            </w:r>
            <w:r>
              <w:t xml:space="preserve"> de giros acorde a las necesidades del municipio</w:t>
            </w:r>
          </w:p>
        </w:tc>
      </w:tr>
      <w:tr w:rsidR="00D14D02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14D02" w:rsidRDefault="00D14D02" w:rsidP="00D14D02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D14D02" w:rsidRDefault="00D14D02" w:rsidP="00D14D02"/>
        </w:tc>
      </w:tr>
      <w:tr w:rsidR="00D14D02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14D02" w:rsidRDefault="00D14D02" w:rsidP="00D14D02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D14D02" w:rsidRDefault="00D14D02" w:rsidP="00D14D02"/>
        </w:tc>
      </w:tr>
      <w:tr w:rsidR="00D14D02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Largo Plazo</w:t>
            </w:r>
          </w:p>
        </w:tc>
      </w:tr>
      <w:tr w:rsidR="00D14D02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D14D02" w:rsidRDefault="00D14D02" w:rsidP="00D14D02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D14D02" w:rsidRDefault="00D14D02" w:rsidP="00D14D02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D14D02" w:rsidRDefault="00D14D02" w:rsidP="00D14D02">
            <w:pPr>
              <w:jc w:val="center"/>
            </w:pPr>
          </w:p>
        </w:tc>
      </w:tr>
      <w:tr w:rsidR="00D14D02" w:rsidTr="00A316F5">
        <w:tc>
          <w:tcPr>
            <w:tcW w:w="1356" w:type="pct"/>
            <w:shd w:val="clear" w:color="auto" w:fill="D9D9D9" w:themeFill="background1" w:themeFillShade="D9"/>
          </w:tcPr>
          <w:p w:rsidR="00D14D02" w:rsidRDefault="00D14D02" w:rsidP="00D14D02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D14D02" w:rsidRDefault="00D14D02" w:rsidP="00D14D02">
            <w:pPr>
              <w:jc w:val="center"/>
            </w:pPr>
            <w:r>
              <w:t>Formula del indicador</w:t>
            </w:r>
          </w:p>
        </w:tc>
      </w:tr>
      <w:tr w:rsidR="00D14D02" w:rsidTr="00A316F5">
        <w:tc>
          <w:tcPr>
            <w:tcW w:w="1356" w:type="pct"/>
            <w:shd w:val="clear" w:color="auto" w:fill="auto"/>
          </w:tcPr>
          <w:p w:rsidR="00D14D02" w:rsidRDefault="00E06BC9" w:rsidP="00D14D02">
            <w:pPr>
              <w:jc w:val="center"/>
            </w:pPr>
            <w:r w:rsidRPr="00E06BC9">
              <w:t>Porcentaje de avance registrado en 2017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D14D02" w:rsidRDefault="00E06BC9" w:rsidP="00D14D02">
            <w:pPr>
              <w:jc w:val="center"/>
            </w:pPr>
            <w:r w:rsidRPr="00E06BC9">
              <w:t>Porcentaje de avance esperado para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D14D02" w:rsidRDefault="00E06BC9" w:rsidP="00D14D02">
            <w:pPr>
              <w:jc w:val="both"/>
            </w:pPr>
            <w:r w:rsidRPr="00E06BC9">
              <w:t>Porcentaje de avance en la actualización del padrón de contribuyentes y giros.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D14D02" w:rsidRDefault="00E06BC9" w:rsidP="00E06BC9">
            <w:pPr>
              <w:jc w:val="center"/>
            </w:pPr>
            <w:r>
              <w:t>N/A</w:t>
            </w:r>
            <w:bookmarkStart w:id="0" w:name="_GoBack"/>
            <w:bookmarkEnd w:id="0"/>
          </w:p>
        </w:tc>
      </w:tr>
      <w:tr w:rsidR="00D14D02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D14D02" w:rsidRDefault="00D14D02" w:rsidP="00D14D02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D14D02" w:rsidRDefault="00D14D02" w:rsidP="00D14D02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3D3EA8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3D3EA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D14D0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D14D02" w:rsidRPr="00A316F5" w:rsidRDefault="00D14D02" w:rsidP="00D14D02">
            <w:r>
              <w:rPr>
                <w:rFonts w:ascii="Arial" w:eastAsia="Calibri" w:hAnsi="Arial" w:cs="Arial"/>
                <w:sz w:val="18"/>
                <w:szCs w:val="18"/>
              </w:rPr>
              <w:t>Programa de Coordinación Interinstitucional</w:t>
            </w:r>
          </w:p>
        </w:tc>
        <w:tc>
          <w:tcPr>
            <w:tcW w:w="240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14D02" w:rsidRPr="00145F76" w:rsidRDefault="00D14D02" w:rsidP="00D14D02">
            <w:pPr>
              <w:rPr>
                <w:sz w:val="20"/>
              </w:rPr>
            </w:pPr>
            <w:r>
              <w:rPr>
                <w:sz w:val="20"/>
              </w:rPr>
              <w:t xml:space="preserve">   x</w:t>
            </w:r>
          </w:p>
        </w:tc>
        <w:tc>
          <w:tcPr>
            <w:tcW w:w="241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</w:tr>
      <w:tr w:rsidR="00D14D0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D14D02" w:rsidRPr="00A316F5" w:rsidRDefault="00D14D02" w:rsidP="00D14D02"/>
        </w:tc>
        <w:tc>
          <w:tcPr>
            <w:tcW w:w="240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14D02" w:rsidRPr="00145F76" w:rsidRDefault="00D14D02" w:rsidP="00D14D02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</w:tr>
      <w:tr w:rsidR="00D14D02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D14D02" w:rsidRPr="00A316F5" w:rsidRDefault="00D14D02" w:rsidP="00D14D02"/>
        </w:tc>
        <w:tc>
          <w:tcPr>
            <w:tcW w:w="240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14D02" w:rsidRPr="00145F76" w:rsidRDefault="00D14D02" w:rsidP="00D14D02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</w:tr>
      <w:tr w:rsidR="00D14D02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D14D02" w:rsidRPr="00A316F5" w:rsidRDefault="00D14D02" w:rsidP="00D14D02"/>
        </w:tc>
        <w:tc>
          <w:tcPr>
            <w:tcW w:w="240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14D02" w:rsidRPr="00145F76" w:rsidRDefault="00D14D02" w:rsidP="00D14D02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</w:tr>
      <w:tr w:rsidR="00D14D02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14D02" w:rsidRPr="00A316F5" w:rsidRDefault="00D14D02" w:rsidP="00D14D02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14D02" w:rsidRPr="00145F76" w:rsidRDefault="00D14D02" w:rsidP="00D14D02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14D02" w:rsidRPr="00145F76" w:rsidRDefault="00D14D02" w:rsidP="00D14D02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A9" w:rsidRDefault="00B555A9" w:rsidP="00831F7E">
      <w:pPr>
        <w:spacing w:after="0" w:line="240" w:lineRule="auto"/>
      </w:pPr>
      <w:r>
        <w:separator/>
      </w:r>
    </w:p>
  </w:endnote>
  <w:endnote w:type="continuationSeparator" w:id="0">
    <w:p w:rsidR="00B555A9" w:rsidRDefault="00B555A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A9" w:rsidRDefault="00B555A9" w:rsidP="00831F7E">
      <w:pPr>
        <w:spacing w:after="0" w:line="240" w:lineRule="auto"/>
      </w:pPr>
      <w:r>
        <w:separator/>
      </w:r>
    </w:p>
  </w:footnote>
  <w:footnote w:type="continuationSeparator" w:id="0">
    <w:p w:rsidR="00B555A9" w:rsidRDefault="00B555A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D3EA8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45C9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555A9"/>
    <w:rsid w:val="00B71F35"/>
    <w:rsid w:val="00BE28A4"/>
    <w:rsid w:val="00BF4795"/>
    <w:rsid w:val="00C12013"/>
    <w:rsid w:val="00C2378E"/>
    <w:rsid w:val="00C3208D"/>
    <w:rsid w:val="00D14D02"/>
    <w:rsid w:val="00D22792"/>
    <w:rsid w:val="00D3511F"/>
    <w:rsid w:val="00D50738"/>
    <w:rsid w:val="00D81A12"/>
    <w:rsid w:val="00DA1F68"/>
    <w:rsid w:val="00DB0FA4"/>
    <w:rsid w:val="00DC13B1"/>
    <w:rsid w:val="00DC65E8"/>
    <w:rsid w:val="00DF3242"/>
    <w:rsid w:val="00E06BC9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3C877-2F83-42DC-B558-EAE56400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2017-11-16T16:35:00Z</dcterms:created>
  <dcterms:modified xsi:type="dcterms:W3CDTF">2017-11-16T18:08:00Z</dcterms:modified>
</cp:coreProperties>
</file>