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092"/>
        <w:gridCol w:w="1060"/>
        <w:gridCol w:w="253"/>
        <w:gridCol w:w="662"/>
        <w:gridCol w:w="1530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A00F82" w:rsidTr="00A26C89">
        <w:tc>
          <w:tcPr>
            <w:tcW w:w="2405" w:type="dxa"/>
            <w:gridSpan w:val="3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7899" w:type="dxa"/>
            <w:gridSpan w:val="7"/>
          </w:tcPr>
          <w:p w:rsidR="00FA5E7E" w:rsidRDefault="00F43DCB" w:rsidP="006F1A5C">
            <w:pPr>
              <w:jc w:val="both"/>
            </w:pPr>
            <w:r>
              <w:t>Proyecto Huertos Familiares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A00F82" w:rsidTr="00A26C89">
        <w:tc>
          <w:tcPr>
            <w:tcW w:w="2405" w:type="dxa"/>
            <w:gridSpan w:val="3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7899" w:type="dxa"/>
            <w:gridSpan w:val="7"/>
          </w:tcPr>
          <w:p w:rsidR="00FA5E7E" w:rsidRDefault="00F43DCB" w:rsidP="006F1A5C">
            <w:pPr>
              <w:jc w:val="both"/>
            </w:pPr>
            <w:r>
              <w:t>Dirección de Unidades Cooperativas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A5E7E" w:rsidTr="00A26C89">
        <w:trPr>
          <w:trHeight w:val="675"/>
        </w:trPr>
        <w:tc>
          <w:tcPr>
            <w:tcW w:w="2405" w:type="dxa"/>
            <w:gridSpan w:val="3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7899" w:type="dxa"/>
            <w:gridSpan w:val="7"/>
            <w:vMerge w:val="restart"/>
          </w:tcPr>
          <w:p w:rsidR="00FA5E7E" w:rsidRDefault="00F43DCB" w:rsidP="006F1A5C">
            <w:pPr>
              <w:jc w:val="both"/>
            </w:pPr>
            <w:r>
              <w:t>Es la necesidad prioritaria de contribuir al desarrollo de las familias Tlaquepaquenses apoyándolas con un programa de Unidades de Producción de traspatio como una oportunidad excelente para cultiv</w:t>
            </w:r>
            <w:r w:rsidR="006D7D81">
              <w:t>ar especies vegetales para auto</w:t>
            </w:r>
            <w:r>
              <w:t>consumo e inclusive para la comercialización. Contribuyendo a la dieta familiar con productos sanos y a la vez provocando un considerable ahorro al ingreso familiar.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A26C89">
        <w:trPr>
          <w:trHeight w:val="675"/>
        </w:trPr>
        <w:tc>
          <w:tcPr>
            <w:tcW w:w="2405" w:type="dxa"/>
            <w:gridSpan w:val="3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7899" w:type="dxa"/>
            <w:gridSpan w:val="7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A26C89">
        <w:trPr>
          <w:trHeight w:val="498"/>
        </w:trPr>
        <w:tc>
          <w:tcPr>
            <w:tcW w:w="2405" w:type="dxa"/>
            <w:gridSpan w:val="3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7899" w:type="dxa"/>
            <w:gridSpan w:val="7"/>
          </w:tcPr>
          <w:p w:rsidR="00A01DCA" w:rsidRDefault="00F43DCB" w:rsidP="006F1A5C">
            <w:pPr>
              <w:jc w:val="both"/>
            </w:pPr>
            <w:r>
              <w:t>Este proyecto se implementara en las zonas semiurbanas y rurales como son San Martín de las Flores, San José Tateposco, Los Puestos, Las Pomas, Santa Anita, entre otros.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A26C89">
        <w:tc>
          <w:tcPr>
            <w:tcW w:w="2405" w:type="dxa"/>
            <w:gridSpan w:val="3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7899" w:type="dxa"/>
            <w:gridSpan w:val="7"/>
          </w:tcPr>
          <w:p w:rsidR="00A01DCA" w:rsidRDefault="00F43DCB" w:rsidP="006F1A5C">
            <w:pPr>
              <w:jc w:val="both"/>
            </w:pPr>
            <w:r>
              <w:t xml:space="preserve">Ing. Guillermo Partida Aceves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A26C89">
        <w:trPr>
          <w:trHeight w:val="503"/>
        </w:trPr>
        <w:tc>
          <w:tcPr>
            <w:tcW w:w="2405" w:type="dxa"/>
            <w:gridSpan w:val="3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7899" w:type="dxa"/>
            <w:gridSpan w:val="7"/>
          </w:tcPr>
          <w:p w:rsidR="00A01DCA" w:rsidRDefault="00F43DCB" w:rsidP="006F1A5C">
            <w:pPr>
              <w:jc w:val="both"/>
            </w:pPr>
            <w:r>
              <w:t xml:space="preserve">Propiciar alternativas de desarrollo para dotar de mayores posibilidades de ingresos familiares por medio de los proyectos Huertos Familiares </w:t>
            </w:r>
            <w:r w:rsidR="006D7D81">
              <w:t>contribuyendo el resolver una parte fundamental que es el consumo de alimentos sanos generando a la vez ingresos extras a cada núcleo familiar.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A26C89">
        <w:tc>
          <w:tcPr>
            <w:tcW w:w="2405" w:type="dxa"/>
            <w:gridSpan w:val="3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10589" w:type="dxa"/>
            <w:gridSpan w:val="11"/>
          </w:tcPr>
          <w:p w:rsidR="00FA5E7E" w:rsidRDefault="006D7D81" w:rsidP="006F1A5C">
            <w:pPr>
              <w:jc w:val="both"/>
            </w:pPr>
            <w:r>
              <w:t>Áreas semi-urbanas y semi-ruralres de las delegaciones ejidales del municipio de San Pedro Tlaquepaque</w:t>
            </w:r>
          </w:p>
        </w:tc>
      </w:tr>
      <w:tr w:rsidR="00650F82" w:rsidTr="00A26C89">
        <w:tc>
          <w:tcPr>
            <w:tcW w:w="4597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0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17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0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A26C89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17" w:type="dxa"/>
            <w:gridSpan w:val="3"/>
            <w:shd w:val="clear" w:color="auto" w:fill="auto"/>
          </w:tcPr>
          <w:p w:rsidR="00650F82" w:rsidRDefault="006D7D81" w:rsidP="006F1A5C">
            <w:r>
              <w:t>Tentativamente marzo de 2017 (Reglas de Operación SAGARPA)</w:t>
            </w:r>
          </w:p>
        </w:tc>
        <w:tc>
          <w:tcPr>
            <w:tcW w:w="2690" w:type="dxa"/>
            <w:gridSpan w:val="4"/>
            <w:shd w:val="clear" w:color="auto" w:fill="auto"/>
          </w:tcPr>
          <w:p w:rsidR="00650F82" w:rsidRDefault="00650F82" w:rsidP="006F1A5C"/>
        </w:tc>
      </w:tr>
      <w:tr w:rsidR="00650F82" w:rsidTr="00A26C89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530" w:type="dxa"/>
          </w:tcPr>
          <w:p w:rsidR="00650F82" w:rsidRDefault="006D7D81" w:rsidP="006F1A5C">
            <w:pPr>
              <w:jc w:val="center"/>
            </w:pPr>
            <w:r>
              <w:t>X</w:t>
            </w:r>
          </w:p>
        </w:tc>
        <w:tc>
          <w:tcPr>
            <w:tcW w:w="167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2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A26C89">
        <w:tc>
          <w:tcPr>
            <w:tcW w:w="3067" w:type="dxa"/>
            <w:gridSpan w:val="4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0" w:type="dxa"/>
          </w:tcPr>
          <w:p w:rsidR="00650F82" w:rsidRPr="00A26C89" w:rsidRDefault="00A26C89" w:rsidP="00C22A3F">
            <w:pPr>
              <w:rPr>
                <w:b/>
              </w:rPr>
            </w:pPr>
            <w:r w:rsidRPr="00A26C89">
              <w:rPr>
                <w:b/>
              </w:rPr>
              <w:t>$ 200,000.00</w:t>
            </w:r>
          </w:p>
        </w:tc>
        <w:tc>
          <w:tcPr>
            <w:tcW w:w="3090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4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2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2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50"/>
        <w:gridCol w:w="2210"/>
        <w:gridCol w:w="1268"/>
        <w:gridCol w:w="2719"/>
        <w:gridCol w:w="409"/>
        <w:gridCol w:w="3203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6D7D81" w:rsidP="00C22A3F">
            <w:r>
              <w:t>Implementación de Huertos Familiares en las zonas semi-urbanas y semi-rurales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6D7D81" w:rsidP="00506A61">
            <w:r>
              <w:t>1) Realizar la convocatoria de la población objetivo</w:t>
            </w:r>
            <w:r w:rsidR="00CB0E70">
              <w:t xml:space="preserve"> </w:t>
            </w:r>
            <w:r>
              <w:t xml:space="preserve">la cual debe contar con espacio suficiente para la implementación del huerto ya sea de traspatio o terreno abierto y dicho espacio debe contar con características similares y que cumplan con lo </w:t>
            </w:r>
            <w:r w:rsidR="00CB0E70">
              <w:t>mínimo</w:t>
            </w:r>
            <w:r>
              <w:t xml:space="preserve"> para desarrollar esta actividad (espacio, producción, autoconsumo y comercialización). Normalmente personas de bajos ingresos en zonas semi-urbanas y rurales.</w:t>
            </w:r>
            <w:r>
              <w:br/>
              <w:t>2) Se debe estar seguro de que los beneficiarios o las familias beneficiadas tengan una idea correcta d</w:t>
            </w:r>
            <w:r w:rsidR="00AB4E2C">
              <w:t>e la estructura y funciones principales del huerto o que cuenten con un mínimo de noción del tema.</w:t>
            </w:r>
            <w:r w:rsidR="00AB4E2C">
              <w:br/>
              <w:t xml:space="preserve"> 3) Posteriormente es de vital importancia la capacitación realizada por </w:t>
            </w:r>
            <w:r w:rsidR="007A4C28">
              <w:t>técnicos especializados en el tema, elaborar estudios previos y proyectos de índole agronómica que incluyan descripción de espacios apropiados, tipo de suelos (sustratos) o en su caso adaptación del lugar para implementar el huerto con implementos en cajas y/o camas de cultivo.</w:t>
            </w:r>
            <w:r w:rsidR="007A4C28">
              <w:br/>
            </w:r>
            <w:r w:rsidR="00CB0E70">
              <w:t xml:space="preserve">4) </w:t>
            </w:r>
            <w:r w:rsidR="00B0017F">
              <w:t>Elaborar un análisis muy objetivo de la situación del espacio o terreno, recursos económicos, hidrológicos, climatológicos y edafológicos para analizar la viabilidad de la inversión.</w:t>
            </w:r>
          </w:p>
          <w:p w:rsidR="00B0017F" w:rsidRDefault="00B0017F" w:rsidP="00506A61">
            <w:r>
              <w:t>5) Definir obras y equipos necesarios para cultivar la tierra (herramientas) requeridas para dichas actividades.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B0017F" w:rsidP="005461F3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p w:rsidR="00E8439C" w:rsidRDefault="00E8439C"/>
    <w:p w:rsidR="00E8439C" w:rsidRDefault="00E8439C"/>
    <w:p w:rsidR="00E8439C" w:rsidRDefault="00E8439C"/>
    <w:p w:rsidR="00E8439C" w:rsidRDefault="00E8439C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508"/>
        <w:gridCol w:w="625"/>
        <w:gridCol w:w="578"/>
        <w:gridCol w:w="698"/>
        <w:gridCol w:w="628"/>
        <w:gridCol w:w="690"/>
        <w:gridCol w:w="609"/>
        <w:gridCol w:w="568"/>
        <w:gridCol w:w="672"/>
        <w:gridCol w:w="573"/>
        <w:gridCol w:w="622"/>
        <w:gridCol w:w="675"/>
        <w:gridCol w:w="57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A26C89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26C89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B0017F" w:rsidP="00691B6A">
            <w:r>
              <w:t>Conocimiento de las reglas de operación del programa por medio de SAGARPA</w:t>
            </w:r>
          </w:p>
        </w:tc>
        <w:tc>
          <w:tcPr>
            <w:tcW w:w="240" w:type="pct"/>
            <w:shd w:val="clear" w:color="auto" w:fill="FABF8F" w:themeFill="accent6" w:themeFillTint="99"/>
          </w:tcPr>
          <w:p w:rsidR="001F5B4A" w:rsidRPr="00145F76" w:rsidRDefault="00B001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26C89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B0017F" w:rsidP="00691B6A">
            <w:r>
              <w:t>Convocatoria a la población que cubren el perfil solicitado</w:t>
            </w:r>
            <w:r w:rsidR="00CB0E70">
              <w:t xml:space="preserve"> (puntos 1) y 2))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ABF8F" w:themeFill="accent6" w:themeFillTint="99"/>
          </w:tcPr>
          <w:p w:rsidR="004E5503" w:rsidRPr="00145F76" w:rsidRDefault="00B001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FABF8F" w:themeFill="accent6" w:themeFillTint="99"/>
          </w:tcPr>
          <w:p w:rsidR="004E5503" w:rsidRPr="00145F76" w:rsidRDefault="00B0017F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26C89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B0017F" w:rsidP="00691B6A">
            <w:r>
              <w:t>Inscripción de personas al programa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ABF8F" w:themeFill="accent6" w:themeFillTint="99"/>
          </w:tcPr>
          <w:p w:rsidR="001F5B4A" w:rsidRPr="00145F76" w:rsidRDefault="00B0017F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FABF8F" w:themeFill="accent6" w:themeFillTint="99"/>
          </w:tcPr>
          <w:p w:rsidR="001F5B4A" w:rsidRPr="00145F76" w:rsidRDefault="00B001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26C89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B0017F" w:rsidP="00691B6A">
            <w:r>
              <w:t>Publicación de beneficiarios (SAGARPA)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ABF8F" w:themeFill="accent6" w:themeFillTint="99"/>
          </w:tcPr>
          <w:p w:rsidR="001F5B4A" w:rsidRPr="00145F76" w:rsidRDefault="00B001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FABF8F" w:themeFill="accent6" w:themeFillTint="99"/>
          </w:tcPr>
          <w:p w:rsidR="001F5B4A" w:rsidRPr="00145F76" w:rsidRDefault="00B001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26C89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B0017F" w:rsidP="001D4E0E">
            <w:pPr>
              <w:jc w:val="both"/>
            </w:pPr>
            <w:r>
              <w:t xml:space="preserve">Entrega de apoyo 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ABF8F" w:themeFill="accent6" w:themeFillTint="99"/>
          </w:tcPr>
          <w:p w:rsidR="001F5B4A" w:rsidRPr="00145F76" w:rsidRDefault="00B001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FABF8F" w:themeFill="accent6" w:themeFillTint="99"/>
          </w:tcPr>
          <w:p w:rsidR="001F5B4A" w:rsidRPr="00145F76" w:rsidRDefault="00B001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FABF8F" w:themeFill="accent6" w:themeFillTint="99"/>
          </w:tcPr>
          <w:p w:rsidR="001F5B4A" w:rsidRPr="00145F76" w:rsidRDefault="00B0017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0017F" w:rsidTr="00A26C89">
        <w:trPr>
          <w:trHeight w:val="281"/>
        </w:trPr>
        <w:tc>
          <w:tcPr>
            <w:tcW w:w="0" w:type="auto"/>
            <w:shd w:val="clear" w:color="auto" w:fill="auto"/>
          </w:tcPr>
          <w:p w:rsidR="00B0017F" w:rsidRDefault="00B0017F" w:rsidP="001D4E0E">
            <w:pPr>
              <w:jc w:val="both"/>
            </w:pPr>
            <w:r>
              <w:t xml:space="preserve">Seguimiento de proyectos productivos y capacitaciones </w:t>
            </w:r>
            <w:r w:rsidR="00CB0E70">
              <w:t xml:space="preserve"> (Puntos 3), 4) y 5))</w:t>
            </w:r>
          </w:p>
        </w:tc>
        <w:tc>
          <w:tcPr>
            <w:tcW w:w="240" w:type="pct"/>
            <w:shd w:val="clear" w:color="auto" w:fill="auto"/>
          </w:tcPr>
          <w:p w:rsidR="00B0017F" w:rsidRPr="00145F76" w:rsidRDefault="00B0017F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B0017F" w:rsidRPr="00145F76" w:rsidRDefault="00B0017F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B0017F" w:rsidRPr="00145F76" w:rsidRDefault="00B0017F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B0017F" w:rsidRPr="00145F76" w:rsidRDefault="00B0017F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B0017F" w:rsidRPr="00145F76" w:rsidRDefault="00B0017F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B0017F" w:rsidRPr="00145F76" w:rsidRDefault="00B0017F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B0017F" w:rsidRPr="00145F76" w:rsidRDefault="00B0017F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B0017F" w:rsidRPr="00145F76" w:rsidRDefault="00B0017F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B0017F" w:rsidRPr="00145F76" w:rsidRDefault="00B0017F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ABF8F" w:themeFill="accent6" w:themeFillTint="99"/>
          </w:tcPr>
          <w:p w:rsidR="00B0017F" w:rsidRDefault="00CB0E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FABF8F" w:themeFill="accent6" w:themeFillTint="99"/>
          </w:tcPr>
          <w:p w:rsidR="00B0017F" w:rsidRDefault="00CB0E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FABF8F" w:themeFill="accent6" w:themeFillTint="99"/>
          </w:tcPr>
          <w:p w:rsidR="00B0017F" w:rsidRDefault="00CB0E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418"/>
        <w:gridCol w:w="4252"/>
        <w:gridCol w:w="1134"/>
        <w:gridCol w:w="1134"/>
        <w:gridCol w:w="1418"/>
        <w:gridCol w:w="963"/>
      </w:tblGrid>
      <w:tr w:rsidR="0042122F" w:rsidTr="008871BD">
        <w:trPr>
          <w:trHeight w:val="233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8871BD">
        <w:trPr>
          <w:trHeight w:val="232"/>
        </w:trPr>
        <w:tc>
          <w:tcPr>
            <w:tcW w:w="141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41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141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6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8871BD">
        <w:trPr>
          <w:trHeight w:val="637"/>
        </w:trPr>
        <w:tc>
          <w:tcPr>
            <w:tcW w:w="1413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8871BD" w:rsidRDefault="008871B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871BD" w:rsidRDefault="008871B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871BD" w:rsidRDefault="008871B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871BD" w:rsidRDefault="008871B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DD11E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41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4252" w:type="dxa"/>
          </w:tcPr>
          <w:p w:rsidR="0042122F" w:rsidRPr="008871BD" w:rsidRDefault="00DD11E6" w:rsidP="008871BD">
            <w:pPr>
              <w:rPr>
                <w:rFonts w:ascii="Arial" w:hAnsi="Arial" w:cs="Arial"/>
                <w:sz w:val="16"/>
                <w:szCs w:val="16"/>
              </w:rPr>
            </w:pPr>
            <w:r w:rsidRPr="008871BD">
              <w:rPr>
                <w:rFonts w:ascii="Arial" w:hAnsi="Arial" w:cs="Arial"/>
                <w:sz w:val="16"/>
                <w:szCs w:val="16"/>
              </w:rPr>
              <w:t>1</w:t>
            </w:r>
            <w:r w:rsidR="008871BD" w:rsidRPr="008871BD">
              <w:rPr>
                <w:rFonts w:ascii="Arial" w:hAnsi="Arial" w:cs="Arial"/>
                <w:sz w:val="16"/>
                <w:szCs w:val="16"/>
              </w:rPr>
              <w:t xml:space="preserve"> Camioneta pick up</w:t>
            </w:r>
          </w:p>
          <w:p w:rsidR="008871BD" w:rsidRPr="008871BD" w:rsidRDefault="008871BD" w:rsidP="008871BD">
            <w:pPr>
              <w:rPr>
                <w:rFonts w:ascii="Arial" w:hAnsi="Arial" w:cs="Arial"/>
                <w:sz w:val="16"/>
                <w:szCs w:val="16"/>
              </w:rPr>
            </w:pPr>
            <w:r w:rsidRPr="008871BD">
              <w:rPr>
                <w:rFonts w:ascii="Arial" w:hAnsi="Arial" w:cs="Arial"/>
                <w:sz w:val="16"/>
                <w:szCs w:val="16"/>
              </w:rPr>
              <w:t>(Se solicitara a patrimonio).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8871BD" w:rsidRDefault="008871BD" w:rsidP="008871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1B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963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8871BD">
        <w:tc>
          <w:tcPr>
            <w:tcW w:w="141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4252" w:type="dxa"/>
          </w:tcPr>
          <w:p w:rsidR="0042122F" w:rsidRDefault="008871BD" w:rsidP="008871BD">
            <w:pPr>
              <w:rPr>
                <w:rFonts w:ascii="Arial" w:hAnsi="Arial" w:cs="Arial"/>
                <w:sz w:val="16"/>
                <w:szCs w:val="16"/>
              </w:rPr>
            </w:pPr>
            <w:r w:rsidRPr="008871BD">
              <w:rPr>
                <w:rFonts w:ascii="Arial" w:hAnsi="Arial" w:cs="Arial"/>
                <w:sz w:val="16"/>
                <w:szCs w:val="16"/>
              </w:rPr>
              <w:t>1 Camioneta pick up</w:t>
            </w:r>
          </w:p>
          <w:p w:rsidR="008871BD" w:rsidRDefault="008871BD" w:rsidP="008871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 lt de gasolina</w:t>
            </w:r>
          </w:p>
          <w:p w:rsidR="008871BD" w:rsidRDefault="008871BD" w:rsidP="008871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$ 2,638.40 </w:t>
            </w:r>
          </w:p>
          <w:p w:rsidR="008871BD" w:rsidRPr="00621039" w:rsidRDefault="008871BD" w:rsidP="008871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1039">
              <w:rPr>
                <w:rFonts w:ascii="Arial" w:hAnsi="Arial" w:cs="Arial"/>
                <w:b/>
                <w:sz w:val="16"/>
                <w:szCs w:val="16"/>
              </w:rPr>
              <w:t>Precio de gasolina $ 16.49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8871BD" w:rsidRDefault="008871BD" w:rsidP="008871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1B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3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8871BD">
        <w:tc>
          <w:tcPr>
            <w:tcW w:w="141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4252" w:type="dxa"/>
          </w:tcPr>
          <w:p w:rsidR="0042122F" w:rsidRPr="008871BD" w:rsidRDefault="00DD11E6" w:rsidP="008871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1B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8871BD" w:rsidRDefault="008871BD" w:rsidP="008871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1B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3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E8439C">
      <w:pgSz w:w="15840" w:h="12240" w:orient="landscape"/>
      <w:pgMar w:top="720" w:right="731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965" w:rsidRDefault="00C57965" w:rsidP="00831F7E">
      <w:pPr>
        <w:spacing w:after="0" w:line="240" w:lineRule="auto"/>
      </w:pPr>
      <w:r>
        <w:separator/>
      </w:r>
    </w:p>
  </w:endnote>
  <w:endnote w:type="continuationSeparator" w:id="0">
    <w:p w:rsidR="00C57965" w:rsidRDefault="00C57965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965" w:rsidRDefault="00C57965" w:rsidP="00831F7E">
      <w:pPr>
        <w:spacing w:after="0" w:line="240" w:lineRule="auto"/>
      </w:pPr>
      <w:r>
        <w:separator/>
      </w:r>
    </w:p>
  </w:footnote>
  <w:footnote w:type="continuationSeparator" w:id="0">
    <w:p w:rsidR="00C57965" w:rsidRDefault="00C57965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16C5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479EB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A159C"/>
    <w:rsid w:val="003C3FD5"/>
    <w:rsid w:val="003E6AB7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633A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1039"/>
    <w:rsid w:val="006235EC"/>
    <w:rsid w:val="00623BB6"/>
    <w:rsid w:val="00640878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D7D81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A4C28"/>
    <w:rsid w:val="007E1B4E"/>
    <w:rsid w:val="00803C8A"/>
    <w:rsid w:val="00831976"/>
    <w:rsid w:val="00831F7E"/>
    <w:rsid w:val="00865183"/>
    <w:rsid w:val="008823BE"/>
    <w:rsid w:val="008871BD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26C89"/>
    <w:rsid w:val="00A316F5"/>
    <w:rsid w:val="00A43C95"/>
    <w:rsid w:val="00A465A0"/>
    <w:rsid w:val="00A53855"/>
    <w:rsid w:val="00A54029"/>
    <w:rsid w:val="00A57343"/>
    <w:rsid w:val="00A65F50"/>
    <w:rsid w:val="00AA4922"/>
    <w:rsid w:val="00AB4E2C"/>
    <w:rsid w:val="00AB52C1"/>
    <w:rsid w:val="00AD4ED4"/>
    <w:rsid w:val="00AD667C"/>
    <w:rsid w:val="00AF641E"/>
    <w:rsid w:val="00AF730C"/>
    <w:rsid w:val="00B0017F"/>
    <w:rsid w:val="00B1501F"/>
    <w:rsid w:val="00B44A80"/>
    <w:rsid w:val="00B71F35"/>
    <w:rsid w:val="00BE28A4"/>
    <w:rsid w:val="00BF4795"/>
    <w:rsid w:val="00C12013"/>
    <w:rsid w:val="00C3208D"/>
    <w:rsid w:val="00C57965"/>
    <w:rsid w:val="00CB0E70"/>
    <w:rsid w:val="00D22792"/>
    <w:rsid w:val="00D3511F"/>
    <w:rsid w:val="00D50738"/>
    <w:rsid w:val="00D81A12"/>
    <w:rsid w:val="00DA1F68"/>
    <w:rsid w:val="00DA4E39"/>
    <w:rsid w:val="00DB0FA4"/>
    <w:rsid w:val="00DC13B1"/>
    <w:rsid w:val="00DD11E6"/>
    <w:rsid w:val="00DF3242"/>
    <w:rsid w:val="00E30C7A"/>
    <w:rsid w:val="00E32044"/>
    <w:rsid w:val="00E57798"/>
    <w:rsid w:val="00E6571B"/>
    <w:rsid w:val="00E81D19"/>
    <w:rsid w:val="00E82C33"/>
    <w:rsid w:val="00E8439C"/>
    <w:rsid w:val="00EB0A7A"/>
    <w:rsid w:val="00EB3B96"/>
    <w:rsid w:val="00ED521E"/>
    <w:rsid w:val="00EF78FF"/>
    <w:rsid w:val="00F13C60"/>
    <w:rsid w:val="00F150E9"/>
    <w:rsid w:val="00F43DCB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43D34-5949-470E-90DD-B9030FC0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DD1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767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pablo.lopez</dc:creator>
  <cp:lastModifiedBy>Laura Perez</cp:lastModifiedBy>
  <cp:revision>2</cp:revision>
  <cp:lastPrinted>2017-11-10T19:52:00Z</cp:lastPrinted>
  <dcterms:created xsi:type="dcterms:W3CDTF">2017-11-14T17:25:00Z</dcterms:created>
  <dcterms:modified xsi:type="dcterms:W3CDTF">2017-11-14T17:25:00Z</dcterms:modified>
</cp:coreProperties>
</file>